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42" w:rsidRPr="0048175A" w:rsidRDefault="007C09D7" w:rsidP="00B064F0">
      <w:pPr>
        <w:spacing w:before="100" w:beforeAutospacing="1" w:after="100" w:afterAutospacing="1" w:line="280" w:lineRule="exact"/>
        <w:ind w:left="720"/>
        <w:rPr>
          <w:rFonts w:cs="Times New Roman"/>
          <w:sz w:val="22"/>
          <w:szCs w:val="22"/>
        </w:rPr>
      </w:pPr>
      <w:bookmarkStart w:id="0" w:name="_GoBack"/>
      <w:bookmarkEnd w:id="0"/>
      <w:r>
        <w:rPr>
          <w:rFonts w:cs="Times New Roman"/>
        </w:rPr>
        <w:t>Proposal Date: October 18</w:t>
      </w:r>
      <w:r w:rsidR="00100942" w:rsidRPr="0048175A">
        <w:rPr>
          <w:rFonts w:cs="Times New Roman"/>
        </w:rPr>
        <w:t>, 2013</w:t>
      </w:r>
    </w:p>
    <w:p w:rsidR="00100942" w:rsidRDefault="00100942">
      <w:pPr>
        <w:jc w:val="center"/>
        <w:rPr>
          <w:rFonts w:cs="Times New Roman"/>
        </w:rPr>
      </w:pPr>
    </w:p>
    <w:p w:rsidR="00100942" w:rsidRDefault="0010094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University College</w:t>
      </w:r>
    </w:p>
    <w:p w:rsidR="00100942" w:rsidRDefault="0010094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School of Professional Studies</w:t>
      </w:r>
    </w:p>
    <w:p w:rsidR="00100942" w:rsidRDefault="0010094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Proposal to Revise Course Prerequisite</w:t>
      </w:r>
    </w:p>
    <w:p w:rsidR="00100942" w:rsidRDefault="0010094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(Consent Item)</w:t>
      </w:r>
    </w:p>
    <w:p w:rsidR="00100942" w:rsidRDefault="00100942">
      <w:pPr>
        <w:rPr>
          <w:rFonts w:cs="Times New Roman"/>
          <w:b/>
          <w:bCs/>
        </w:rPr>
      </w:pPr>
    </w:p>
    <w:p w:rsidR="00100942" w:rsidRDefault="00100942">
      <w:pPr>
        <w:spacing w:line="280" w:lineRule="exac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Contact Person:  John Baker, john.baker1@wku.edu, 745-5149</w:t>
      </w:r>
    </w:p>
    <w:p w:rsidR="00100942" w:rsidRDefault="00100942">
      <w:pPr>
        <w:spacing w:line="280" w:lineRule="exact"/>
        <w:rPr>
          <w:rFonts w:cs="Times New Roman"/>
          <w:sz w:val="22"/>
          <w:szCs w:val="22"/>
        </w:rPr>
      </w:pPr>
    </w:p>
    <w:p w:rsidR="00100942" w:rsidRDefault="00100942">
      <w:pPr>
        <w:spacing w:line="280" w:lineRule="exact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1.</w:t>
      </w:r>
      <w:r>
        <w:rPr>
          <w:rFonts w:cs="Times New Roman"/>
          <w:b/>
          <w:bCs/>
          <w:sz w:val="22"/>
          <w:szCs w:val="22"/>
        </w:rPr>
        <w:tab/>
        <w:t>Identification of course:</w:t>
      </w:r>
    </w:p>
    <w:p w:rsidR="00100942" w:rsidRDefault="00100942">
      <w:pPr>
        <w:numPr>
          <w:ilvl w:val="1"/>
          <w:numId w:val="6"/>
        </w:numPr>
        <w:spacing w:line="280" w:lineRule="exac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Course prefix (subject area)</w:t>
      </w:r>
      <w:r w:rsidR="007C09D7">
        <w:rPr>
          <w:rFonts w:cs="Times New Roman"/>
          <w:sz w:val="22"/>
          <w:szCs w:val="22"/>
        </w:rPr>
        <w:t xml:space="preserve"> and number:  LEAD 4</w:t>
      </w:r>
      <w:r>
        <w:rPr>
          <w:rFonts w:cs="Times New Roman"/>
          <w:sz w:val="22"/>
          <w:szCs w:val="22"/>
        </w:rPr>
        <w:t>00</w:t>
      </w:r>
    </w:p>
    <w:p w:rsidR="00100942" w:rsidRDefault="007C09D7">
      <w:pPr>
        <w:numPr>
          <w:ilvl w:val="1"/>
          <w:numId w:val="6"/>
        </w:numPr>
        <w:spacing w:line="280" w:lineRule="exac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Course title: Practicum in Leadership </w:t>
      </w:r>
    </w:p>
    <w:p w:rsidR="00100942" w:rsidRDefault="00100942">
      <w:pPr>
        <w:tabs>
          <w:tab w:val="left" w:pos="360"/>
        </w:tabs>
        <w:spacing w:line="280" w:lineRule="exact"/>
        <w:rPr>
          <w:rFonts w:cs="Times New Roman"/>
          <w:sz w:val="22"/>
          <w:szCs w:val="22"/>
        </w:rPr>
      </w:pPr>
    </w:p>
    <w:p w:rsidR="00100942" w:rsidRDefault="00100942">
      <w:pPr>
        <w:spacing w:line="280" w:lineRule="exact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2.</w:t>
      </w:r>
      <w:r>
        <w:rPr>
          <w:rFonts w:cs="Times New Roman"/>
          <w:b/>
          <w:bCs/>
          <w:sz w:val="22"/>
          <w:szCs w:val="22"/>
        </w:rPr>
        <w:tab/>
        <w:t>Current prerequisites:</w:t>
      </w:r>
      <w:r w:rsidR="007C09D7">
        <w:rPr>
          <w:rFonts w:cs="Times New Roman"/>
          <w:sz w:val="22"/>
          <w:szCs w:val="22"/>
        </w:rPr>
        <w:t xml:space="preserve"> Completion of all other courses approved for the Certificate in Leadership Studies or concurrent with the last course needed for fulfillment of the certificate. Students must submit a written proposal for approval by the Leadership Studies Committee</w:t>
      </w:r>
      <w:r w:rsidR="00A757B0">
        <w:rPr>
          <w:rFonts w:cs="Times New Roman"/>
          <w:sz w:val="22"/>
          <w:szCs w:val="22"/>
        </w:rPr>
        <w:t>.</w:t>
      </w:r>
    </w:p>
    <w:p w:rsidR="00100942" w:rsidRDefault="00100942">
      <w:pPr>
        <w:spacing w:line="280" w:lineRule="exact"/>
        <w:rPr>
          <w:rFonts w:cs="Times New Roman"/>
          <w:b/>
          <w:bCs/>
          <w:sz w:val="22"/>
          <w:szCs w:val="22"/>
        </w:rPr>
      </w:pPr>
    </w:p>
    <w:p w:rsidR="00100942" w:rsidRDefault="00100942">
      <w:pPr>
        <w:spacing w:line="280" w:lineRule="exact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3.</w:t>
      </w:r>
      <w:r>
        <w:rPr>
          <w:rFonts w:cs="Times New Roman"/>
          <w:b/>
          <w:bCs/>
          <w:sz w:val="22"/>
          <w:szCs w:val="22"/>
        </w:rPr>
        <w:tab/>
        <w:t>Proposed prerequisite:</w:t>
      </w:r>
      <w:r w:rsidR="004E196E">
        <w:rPr>
          <w:rFonts w:cs="Times New Roman"/>
          <w:b/>
          <w:bCs/>
          <w:sz w:val="22"/>
          <w:szCs w:val="22"/>
        </w:rPr>
        <w:t xml:space="preserve"> </w:t>
      </w:r>
      <w:r w:rsidR="007C09D7">
        <w:rPr>
          <w:rFonts w:cs="Times New Roman"/>
          <w:bCs/>
          <w:sz w:val="22"/>
          <w:szCs w:val="22"/>
        </w:rPr>
        <w:t>Instructor’s permission.</w:t>
      </w:r>
    </w:p>
    <w:p w:rsidR="00100942" w:rsidRDefault="00100942">
      <w:pPr>
        <w:spacing w:line="280" w:lineRule="exact"/>
        <w:rPr>
          <w:rFonts w:cs="Times New Roman"/>
          <w:b/>
          <w:bCs/>
          <w:sz w:val="22"/>
          <w:szCs w:val="22"/>
        </w:rPr>
      </w:pPr>
    </w:p>
    <w:p w:rsidR="00100942" w:rsidRDefault="00100942">
      <w:pPr>
        <w:spacing w:line="280" w:lineRule="exact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4.</w:t>
      </w:r>
      <w:r>
        <w:rPr>
          <w:rFonts w:cs="Times New Roman"/>
          <w:b/>
          <w:bCs/>
          <w:sz w:val="22"/>
          <w:szCs w:val="22"/>
        </w:rPr>
        <w:tab/>
        <w:t>Rationale for the revision of prerequisites:</w:t>
      </w:r>
      <w:r w:rsidR="007C09D7">
        <w:rPr>
          <w:rFonts w:cs="Times New Roman"/>
          <w:sz w:val="22"/>
          <w:szCs w:val="22"/>
        </w:rPr>
        <w:t xml:space="preserve"> LEAD 4</w:t>
      </w:r>
      <w:r>
        <w:rPr>
          <w:rFonts w:cs="Times New Roman"/>
          <w:sz w:val="22"/>
          <w:szCs w:val="22"/>
        </w:rPr>
        <w:t>00</w:t>
      </w:r>
      <w:r w:rsidR="007C09D7">
        <w:rPr>
          <w:rFonts w:cs="Times New Roman"/>
          <w:sz w:val="22"/>
          <w:szCs w:val="22"/>
        </w:rPr>
        <w:t xml:space="preserve"> was originally intended as the experiential learning component for the Certificate in Leadership Studies, proposed in 2001. Since 2001, Leadership Studies has developed a minor and major that both require LEAD 400. This proposed prerequisite revision will allow current st</w:t>
      </w:r>
      <w:r w:rsidR="00A757B0">
        <w:rPr>
          <w:rFonts w:cs="Times New Roman"/>
          <w:sz w:val="22"/>
          <w:szCs w:val="22"/>
        </w:rPr>
        <w:t xml:space="preserve">udents in the minor, the major </w:t>
      </w:r>
      <w:r w:rsidR="007C09D7">
        <w:rPr>
          <w:rFonts w:cs="Times New Roman"/>
          <w:sz w:val="22"/>
          <w:szCs w:val="22"/>
        </w:rPr>
        <w:t>and student</w:t>
      </w:r>
      <w:r w:rsidR="00A757B0">
        <w:rPr>
          <w:rFonts w:cs="Times New Roman"/>
          <w:sz w:val="22"/>
          <w:szCs w:val="22"/>
        </w:rPr>
        <w:t>s</w:t>
      </w:r>
      <w:r w:rsidR="007C09D7">
        <w:rPr>
          <w:rFonts w:cs="Times New Roman"/>
          <w:sz w:val="22"/>
          <w:szCs w:val="22"/>
        </w:rPr>
        <w:t xml:space="preserve"> in future Leadership Studies programs to have an experiential learning component in their curriculum. </w:t>
      </w:r>
    </w:p>
    <w:p w:rsidR="00100942" w:rsidRDefault="00100942">
      <w:pPr>
        <w:spacing w:line="280" w:lineRule="exact"/>
        <w:rPr>
          <w:rFonts w:cs="Times New Roman"/>
          <w:b/>
          <w:bCs/>
          <w:sz w:val="22"/>
          <w:szCs w:val="22"/>
        </w:rPr>
      </w:pPr>
    </w:p>
    <w:p w:rsidR="00100942" w:rsidRDefault="00100942">
      <w:pPr>
        <w:spacing w:line="280" w:lineRule="exact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5.</w:t>
      </w:r>
      <w:r>
        <w:rPr>
          <w:rFonts w:cs="Times New Roman"/>
          <w:b/>
          <w:bCs/>
          <w:sz w:val="22"/>
          <w:szCs w:val="22"/>
        </w:rPr>
        <w:tab/>
        <w:t>Effect on completion of major/minor sequence:</w:t>
      </w:r>
      <w:r>
        <w:rPr>
          <w:rFonts w:cs="Times New Roman"/>
          <w:sz w:val="22"/>
          <w:szCs w:val="22"/>
        </w:rPr>
        <w:t xml:space="preserve"> None</w:t>
      </w:r>
    </w:p>
    <w:p w:rsidR="00100942" w:rsidRDefault="00100942">
      <w:pPr>
        <w:spacing w:line="280" w:lineRule="exact"/>
        <w:rPr>
          <w:rFonts w:cs="Times New Roman"/>
          <w:b/>
          <w:bCs/>
          <w:sz w:val="22"/>
          <w:szCs w:val="22"/>
        </w:rPr>
      </w:pPr>
    </w:p>
    <w:p w:rsidR="00100942" w:rsidRDefault="00100942">
      <w:pPr>
        <w:spacing w:line="280" w:lineRule="exact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6.</w:t>
      </w:r>
      <w:r>
        <w:rPr>
          <w:rFonts w:cs="Times New Roman"/>
          <w:b/>
          <w:bCs/>
          <w:sz w:val="22"/>
          <w:szCs w:val="22"/>
        </w:rPr>
        <w:tab/>
        <w:t>Proposed term for implementation:</w:t>
      </w:r>
      <w:r w:rsidR="0048175A">
        <w:rPr>
          <w:rFonts w:cs="Times New Roman"/>
          <w:sz w:val="22"/>
          <w:szCs w:val="22"/>
        </w:rPr>
        <w:t xml:space="preserve"> Spring</w:t>
      </w:r>
      <w:r>
        <w:rPr>
          <w:rFonts w:cs="Times New Roman"/>
          <w:sz w:val="22"/>
          <w:szCs w:val="22"/>
        </w:rPr>
        <w:t xml:space="preserve"> 2014</w:t>
      </w:r>
      <w:r w:rsidR="009100CF">
        <w:rPr>
          <w:rFonts w:cs="Times New Roman"/>
          <w:sz w:val="22"/>
          <w:szCs w:val="22"/>
        </w:rPr>
        <w:t>.</w:t>
      </w:r>
    </w:p>
    <w:p w:rsidR="00100942" w:rsidRDefault="00100942">
      <w:pPr>
        <w:spacing w:line="280" w:lineRule="exact"/>
        <w:rPr>
          <w:rFonts w:cs="Times New Roman"/>
          <w:b/>
          <w:bCs/>
          <w:sz w:val="22"/>
          <w:szCs w:val="22"/>
        </w:rPr>
      </w:pPr>
    </w:p>
    <w:p w:rsidR="00100942" w:rsidRDefault="00100942">
      <w:pPr>
        <w:spacing w:line="280" w:lineRule="exact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7.</w:t>
      </w:r>
      <w:r>
        <w:rPr>
          <w:rFonts w:cs="Times New Roman"/>
          <w:b/>
          <w:bCs/>
          <w:sz w:val="22"/>
          <w:szCs w:val="22"/>
        </w:rPr>
        <w:tab/>
        <w:t>Dates of prior committee approvals:</w:t>
      </w:r>
      <w:r>
        <w:rPr>
          <w:rFonts w:cs="Times New Roman"/>
          <w:b/>
          <w:bCs/>
          <w:sz w:val="22"/>
          <w:szCs w:val="22"/>
        </w:rPr>
        <w:br/>
      </w: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115" w:type="dxa"/>
        </w:tblCellMar>
        <w:tblLook w:val="0000"/>
      </w:tblPr>
      <w:tblGrid>
        <w:gridCol w:w="5627"/>
        <w:gridCol w:w="3128"/>
      </w:tblGrid>
      <w:tr w:rsidR="00100942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942" w:rsidRDefault="0010094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School of Professional Studies</w:t>
            </w:r>
          </w:p>
        </w:tc>
        <w:tc>
          <w:tcPr>
            <w:tcW w:w="3128" w:type="dxa"/>
            <w:tcBorders>
              <w:top w:val="nil"/>
              <w:left w:val="nil"/>
              <w:right w:val="nil"/>
            </w:tcBorders>
            <w:vAlign w:val="center"/>
          </w:tcPr>
          <w:p w:rsidR="00100942" w:rsidRPr="00D07E4F" w:rsidRDefault="007C09D7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October 23, 2013</w:t>
            </w:r>
          </w:p>
        </w:tc>
      </w:tr>
      <w:tr w:rsidR="00100942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942" w:rsidRDefault="0010094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University College Curriculum Committee </w:t>
            </w:r>
          </w:p>
        </w:tc>
        <w:tc>
          <w:tcPr>
            <w:tcW w:w="3128" w:type="dxa"/>
            <w:tcBorders>
              <w:left w:val="nil"/>
              <w:right w:val="nil"/>
            </w:tcBorders>
            <w:vAlign w:val="center"/>
          </w:tcPr>
          <w:p w:rsidR="00100942" w:rsidRPr="00D07E4F" w:rsidRDefault="009F434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November 11, 2013</w:t>
            </w:r>
          </w:p>
        </w:tc>
      </w:tr>
      <w:tr w:rsidR="00100942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942" w:rsidRDefault="0010094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Professional Education Council (if applicable)</w:t>
            </w:r>
          </w:p>
        </w:tc>
        <w:tc>
          <w:tcPr>
            <w:tcW w:w="3128" w:type="dxa"/>
            <w:tcBorders>
              <w:left w:val="nil"/>
              <w:right w:val="nil"/>
            </w:tcBorders>
            <w:vAlign w:val="center"/>
          </w:tcPr>
          <w:p w:rsidR="00100942" w:rsidRDefault="0010094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N/A</w:t>
            </w:r>
          </w:p>
        </w:tc>
      </w:tr>
      <w:tr w:rsidR="00100942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942" w:rsidRDefault="00100942">
            <w:pPr>
              <w:rPr>
                <w:rFonts w:ascii="Calibri" w:hAnsi="Calibri" w:cs="Calibri"/>
              </w:rPr>
            </w:pPr>
            <w:r>
              <w:rPr>
                <w:rFonts w:cs="Times New Roman"/>
                <w:sz w:val="22"/>
                <w:szCs w:val="22"/>
              </w:rPr>
              <w:t>General Education Committee (if applicable)</w:t>
            </w:r>
          </w:p>
        </w:tc>
        <w:tc>
          <w:tcPr>
            <w:tcW w:w="3128" w:type="dxa"/>
            <w:tcBorders>
              <w:left w:val="nil"/>
              <w:right w:val="nil"/>
            </w:tcBorders>
            <w:vAlign w:val="center"/>
          </w:tcPr>
          <w:p w:rsidR="00100942" w:rsidRPr="0084531E" w:rsidRDefault="004E196E">
            <w:pPr>
              <w:rPr>
                <w:rFonts w:cs="Times New Roman"/>
                <w:bCs/>
              </w:rPr>
            </w:pPr>
            <w:r w:rsidRPr="0084531E">
              <w:rPr>
                <w:rFonts w:cs="Times New Roman"/>
                <w:bCs/>
              </w:rPr>
              <w:t>N/A</w:t>
            </w:r>
          </w:p>
        </w:tc>
      </w:tr>
      <w:tr w:rsidR="00100942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942" w:rsidRDefault="0010094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left w:val="nil"/>
              <w:right w:val="nil"/>
            </w:tcBorders>
            <w:vAlign w:val="center"/>
          </w:tcPr>
          <w:p w:rsidR="00100942" w:rsidRPr="00D07E4F" w:rsidRDefault="00100942">
            <w:pPr>
              <w:rPr>
                <w:rFonts w:cs="Times New Roman"/>
                <w:bCs/>
              </w:rPr>
            </w:pPr>
          </w:p>
        </w:tc>
      </w:tr>
      <w:tr w:rsidR="00100942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942" w:rsidRDefault="0010094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left w:val="nil"/>
              <w:right w:val="nil"/>
            </w:tcBorders>
            <w:vAlign w:val="center"/>
          </w:tcPr>
          <w:p w:rsidR="00100942" w:rsidRPr="00D07E4F" w:rsidRDefault="00100942">
            <w:pPr>
              <w:rPr>
                <w:rFonts w:cs="Times New Roman"/>
                <w:bCs/>
              </w:rPr>
            </w:pPr>
          </w:p>
        </w:tc>
      </w:tr>
    </w:tbl>
    <w:p w:rsidR="00100942" w:rsidRDefault="00100942">
      <w:pPr>
        <w:pStyle w:val="NormalWeb"/>
        <w:rPr>
          <w:rFonts w:cs="Times New Roman"/>
        </w:rPr>
      </w:pPr>
    </w:p>
    <w:p w:rsidR="00100942" w:rsidRDefault="00100942">
      <w:pPr>
        <w:rPr>
          <w:rFonts w:cs="Times New Roman"/>
        </w:rPr>
      </w:pPr>
    </w:p>
    <w:p w:rsidR="00100942" w:rsidRDefault="00100942">
      <w:pPr>
        <w:pStyle w:val="NormalWeb"/>
        <w:rPr>
          <w:rFonts w:cs="Times New Roman"/>
        </w:rPr>
      </w:pPr>
      <w:r>
        <w:rPr>
          <w:rFonts w:cs="Times New Roman"/>
        </w:rPr>
        <w:t> </w:t>
      </w:r>
    </w:p>
    <w:sectPr w:rsidR="00100942" w:rsidSect="00100942">
      <w:footerReference w:type="default" r:id="rId7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2C0" w:rsidRDefault="00C352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52C0" w:rsidRDefault="00C352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942" w:rsidRDefault="00100942">
    <w:pPr>
      <w:pStyle w:val="Footer"/>
      <w:jc w:val="right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>Format effective May 2013</w:t>
    </w:r>
  </w:p>
  <w:p w:rsidR="00100942" w:rsidRDefault="0010094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2C0" w:rsidRDefault="00C352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52C0" w:rsidRDefault="00C352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 w:hint="default"/>
      </w:rPr>
    </w:lvl>
  </w:abstractNum>
  <w:abstractNum w:abstractNumId="1">
    <w:nsid w:val="262A4EFD"/>
    <w:multiLevelType w:val="multilevel"/>
    <w:tmpl w:val="2504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1F41F1"/>
    <w:multiLevelType w:val="multilevel"/>
    <w:tmpl w:val="F71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7B979F8"/>
    <w:multiLevelType w:val="multilevel"/>
    <w:tmpl w:val="C92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4B915108"/>
    <w:multiLevelType w:val="multilevel"/>
    <w:tmpl w:val="A8F6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22C0B32"/>
    <w:multiLevelType w:val="hybridMultilevel"/>
    <w:tmpl w:val="38A0E1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">
    <w:nsid w:val="65BA704D"/>
    <w:multiLevelType w:val="multilevel"/>
    <w:tmpl w:val="F648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5"/>
  </w:num>
  <w:num w:numId="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100942"/>
    <w:rsid w:val="0002622A"/>
    <w:rsid w:val="00100942"/>
    <w:rsid w:val="00245B48"/>
    <w:rsid w:val="00377853"/>
    <w:rsid w:val="003C1E4C"/>
    <w:rsid w:val="00401CE3"/>
    <w:rsid w:val="00415A14"/>
    <w:rsid w:val="0048175A"/>
    <w:rsid w:val="004E196E"/>
    <w:rsid w:val="00610963"/>
    <w:rsid w:val="007C09D7"/>
    <w:rsid w:val="0084531E"/>
    <w:rsid w:val="008771A3"/>
    <w:rsid w:val="009100CF"/>
    <w:rsid w:val="00913885"/>
    <w:rsid w:val="009F4344"/>
    <w:rsid w:val="00A757B0"/>
    <w:rsid w:val="00B064F0"/>
    <w:rsid w:val="00B45801"/>
    <w:rsid w:val="00B91974"/>
    <w:rsid w:val="00BA4F70"/>
    <w:rsid w:val="00BD1900"/>
    <w:rsid w:val="00BF6DA2"/>
    <w:rsid w:val="00C352C0"/>
    <w:rsid w:val="00D07E4F"/>
    <w:rsid w:val="00F3292A"/>
    <w:rsid w:val="00F8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97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197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91974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B91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919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91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97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91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97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1315</Characters>
  <Application>Microsoft Office Word</Application>
  <DocSecurity>0</DocSecurity>
  <Lines>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Guidelines for Proposals to Revise Course Prerequisites/Corequisites/Special Requirements</vt:lpstr>
    </vt:vector>
  </TitlesOfParts>
  <Company>Western Kentucky University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Guidelines for Proposals to Revise Course Prerequisites/Corequisites/Special Requirements</dc:title>
  <dc:creator>Bowling Green Community College</dc:creator>
  <cp:lastModifiedBy>Network and Computing Support</cp:lastModifiedBy>
  <cp:revision>2</cp:revision>
  <cp:lastPrinted>2013-10-18T16:49:00Z</cp:lastPrinted>
  <dcterms:created xsi:type="dcterms:W3CDTF">2013-11-12T17:18:00Z</dcterms:created>
  <dcterms:modified xsi:type="dcterms:W3CDTF">2013-11-12T17:18:00Z</dcterms:modified>
</cp:coreProperties>
</file>