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98" w:rsidRDefault="003D2298">
      <w:pPr>
        <w:pStyle w:val="Default"/>
        <w:rPr>
          <w:rFonts w:ascii="Times New Roman" w:eastAsia="Times New Roman" w:hAnsi="Times New Roman" w:cs="Times New Roman"/>
          <w:sz w:val="20"/>
          <w:szCs w:val="20"/>
        </w:rPr>
      </w:pPr>
    </w:p>
    <w:p w:rsidR="003D2298" w:rsidRDefault="00ED7B77">
      <w:pPr>
        <w:pStyle w:val="Default"/>
        <w:ind w:right="1440"/>
        <w:rPr>
          <w:rFonts w:ascii="Times New Roman" w:eastAsia="Times New Roman" w:hAnsi="Times New Roman" w:cs="Times New Roman"/>
          <w:sz w:val="15"/>
          <w:szCs w:val="15"/>
        </w:rPr>
      </w:pPr>
      <w:bookmarkStart w:id="0" w:name="_GoBack"/>
      <w:bookmarkEnd w:id="0"/>
      <w:r>
        <w:rPr>
          <w:rFonts w:ascii="Times New Roman"/>
          <w:sz w:val="15"/>
          <w:szCs w:val="15"/>
        </w:rPr>
        <w:t>First Reading: April 14, 2015</w:t>
      </w:r>
    </w:p>
    <w:p w:rsidR="003D2298" w:rsidRDefault="00ED7B77">
      <w:pPr>
        <w:pStyle w:val="Default"/>
        <w:ind w:right="1440"/>
        <w:rPr>
          <w:rFonts w:ascii="Times New Roman" w:eastAsia="Times New Roman" w:hAnsi="Times New Roman" w:cs="Times New Roman"/>
          <w:sz w:val="15"/>
          <w:szCs w:val="15"/>
        </w:rPr>
      </w:pPr>
      <w:r>
        <w:rPr>
          <w:rFonts w:ascii="Times New Roman"/>
          <w:sz w:val="15"/>
          <w:szCs w:val="15"/>
        </w:rPr>
        <w:t>Second Reading: April 21, 2015</w:t>
      </w:r>
    </w:p>
    <w:p w:rsidR="003D2298" w:rsidRDefault="00ED7B77">
      <w:pPr>
        <w:pStyle w:val="Default"/>
        <w:ind w:right="1440"/>
        <w:rPr>
          <w:rFonts w:ascii="Times New Roman" w:eastAsia="Times New Roman" w:hAnsi="Times New Roman" w:cs="Times New Roman"/>
          <w:sz w:val="15"/>
          <w:szCs w:val="15"/>
        </w:rPr>
      </w:pPr>
      <w:r>
        <w:rPr>
          <w:rFonts w:ascii="Times New Roman"/>
          <w:sz w:val="15"/>
          <w:szCs w:val="15"/>
        </w:rPr>
        <w:t xml:space="preserve">Pass: </w:t>
      </w:r>
      <w:r>
        <w:rPr>
          <w:rFonts w:ascii="Times New Roman"/>
          <w:sz w:val="15"/>
          <w:szCs w:val="15"/>
        </w:rPr>
        <w:t>Yes; 12-10</w:t>
      </w:r>
    </w:p>
    <w:p w:rsidR="003D2298" w:rsidRDefault="00ED7B77">
      <w:pPr>
        <w:pStyle w:val="Default"/>
        <w:ind w:right="1440"/>
        <w:rPr>
          <w:rFonts w:ascii="Times New Roman" w:eastAsia="Times New Roman" w:hAnsi="Times New Roman" w:cs="Times New Roman"/>
          <w:sz w:val="15"/>
          <w:szCs w:val="15"/>
        </w:rPr>
      </w:pPr>
      <w:r>
        <w:rPr>
          <w:rFonts w:ascii="Times New Roman"/>
          <w:sz w:val="15"/>
          <w:szCs w:val="15"/>
        </w:rPr>
        <w:t>Fail:</w:t>
      </w:r>
    </w:p>
    <w:p w:rsidR="003D2298" w:rsidRDefault="00ED7B77">
      <w:pPr>
        <w:pStyle w:val="Default"/>
        <w:ind w:right="1440"/>
        <w:rPr>
          <w:rFonts w:ascii="Times New Roman" w:eastAsia="Times New Roman" w:hAnsi="Times New Roman" w:cs="Times New Roman"/>
          <w:sz w:val="15"/>
          <w:szCs w:val="15"/>
        </w:rPr>
      </w:pPr>
      <w:r>
        <w:rPr>
          <w:rFonts w:ascii="Times New Roman"/>
          <w:sz w:val="15"/>
          <w:szCs w:val="15"/>
        </w:rPr>
        <w:t>Other:</w:t>
      </w:r>
      <w:r>
        <w:rPr>
          <w:rFonts w:ascii="Times New Roman"/>
          <w:sz w:val="15"/>
          <w:szCs w:val="15"/>
        </w:rPr>
        <w:tab/>
      </w:r>
    </w:p>
    <w:p w:rsidR="003D2298" w:rsidRDefault="003D2298">
      <w:pPr>
        <w:pStyle w:val="Default"/>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Resolution 8-15-S</w:t>
      </w:r>
      <w:r>
        <w:rPr>
          <w:rFonts w:ascii="Times New Roman"/>
          <w:sz w:val="15"/>
          <w:szCs w:val="15"/>
        </w:rPr>
        <w:tab/>
        <w:t xml:space="preserve">Resolution to Support Adopting a Moment of Silence Mandate as a </w:t>
      </w:r>
      <w:r>
        <w:rPr>
          <w:rFonts w:ascii="Times New Roman"/>
          <w:sz w:val="15"/>
          <w:szCs w:val="15"/>
        </w:rPr>
        <w:t>Prayer Policy for Western Kentucky University.</w:t>
      </w:r>
    </w:p>
    <w:p w:rsidR="003D2298" w:rsidRDefault="003D2298">
      <w:pPr>
        <w:pStyle w:val="Default"/>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PURPOSE:</w:t>
      </w:r>
      <w:r>
        <w:rPr>
          <w:rFonts w:ascii="Times New Roman"/>
          <w:sz w:val="15"/>
          <w:szCs w:val="15"/>
        </w:rPr>
        <w:tab/>
        <w:t>For the Student Government Association of Western Kentucky University to support, with amendments, the adoption of the public prayer policy passed by the University Senate at their meeting held on Ma</w:t>
      </w:r>
      <w:r>
        <w:rPr>
          <w:rFonts w:ascii="Times New Roman"/>
          <w:sz w:val="15"/>
          <w:szCs w:val="15"/>
        </w:rPr>
        <w:t xml:space="preserve">rch 23, 2014. </w:t>
      </w:r>
    </w:p>
    <w:p w:rsidR="003D2298" w:rsidRDefault="003D2298">
      <w:pPr>
        <w:pStyle w:val="Default"/>
        <w:ind w:left="1440" w:hanging="144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Western Kentucky University is a multicultural community, with students, faculty, and staff of many different religions, and</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 xml:space="preserve">The Student Government Association Constitution mandates that SGA </w:t>
      </w:r>
      <w:r>
        <w:rPr>
          <w:rFonts w:hAnsi="Times New Roman"/>
          <w:sz w:val="15"/>
          <w:szCs w:val="15"/>
        </w:rPr>
        <w:t>“</w:t>
      </w:r>
      <w:r>
        <w:rPr>
          <w:rFonts w:ascii="Times New Roman"/>
          <w:sz w:val="15"/>
          <w:szCs w:val="15"/>
        </w:rPr>
        <w:t>encourage diversity and toler</w:t>
      </w:r>
      <w:r>
        <w:rPr>
          <w:rFonts w:ascii="Times New Roman"/>
          <w:sz w:val="15"/>
          <w:szCs w:val="15"/>
        </w:rPr>
        <w:t>ance between all groups and individuals,</w:t>
      </w:r>
      <w:r>
        <w:rPr>
          <w:rFonts w:hAnsi="Times New Roman"/>
          <w:sz w:val="15"/>
          <w:szCs w:val="15"/>
        </w:rPr>
        <w:t>”</w:t>
      </w:r>
      <w:r>
        <w:rPr>
          <w:rFonts w:hAnsi="Times New Roman"/>
          <w:sz w:val="15"/>
          <w:szCs w:val="15"/>
        </w:rPr>
        <w:t xml:space="preserve"> </w:t>
      </w:r>
      <w:r>
        <w:rPr>
          <w:rFonts w:ascii="Times New Roman"/>
          <w:sz w:val="15"/>
          <w:szCs w:val="15"/>
        </w:rPr>
        <w:t xml:space="preserve">and </w:t>
      </w:r>
    </w:p>
    <w:p w:rsidR="003D2298" w:rsidRDefault="003D2298">
      <w:pPr>
        <w:pStyle w:val="Default"/>
        <w:ind w:left="1440" w:hanging="144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The Supreme Court has held that public officials must be neutral in matters of religion</w:t>
      </w:r>
      <w:r>
        <w:rPr>
          <w:rFonts w:ascii="Times New Roman" w:eastAsia="Times New Roman" w:hAnsi="Times New Roman" w:cs="Times New Roman"/>
          <w:sz w:val="15"/>
          <w:szCs w:val="15"/>
          <w:vertAlign w:val="superscript"/>
        </w:rPr>
        <w:footnoteReference w:id="2"/>
      </w:r>
      <w:r>
        <w:rPr>
          <w:rFonts w:ascii="Times New Roman"/>
          <w:sz w:val="15"/>
          <w:szCs w:val="15"/>
        </w:rPr>
        <w:t>, neither supporting nor hindering any religion, or leading religious activities</w:t>
      </w:r>
      <w:r>
        <w:rPr>
          <w:rFonts w:ascii="Times New Roman" w:eastAsia="Times New Roman" w:hAnsi="Times New Roman" w:cs="Times New Roman"/>
          <w:sz w:val="15"/>
          <w:szCs w:val="15"/>
          <w:vertAlign w:val="superscript"/>
        </w:rPr>
        <w:footnoteReference w:id="3"/>
      </w:r>
      <w:r>
        <w:rPr>
          <w:rFonts w:ascii="Times New Roman"/>
          <w:sz w:val="15"/>
          <w:szCs w:val="15"/>
        </w:rPr>
        <w:t xml:space="preserve">, and </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Courts have h</w:t>
      </w:r>
      <w:r>
        <w:rPr>
          <w:rFonts w:ascii="Times New Roman"/>
          <w:sz w:val="15"/>
          <w:szCs w:val="15"/>
        </w:rPr>
        <w:t>eld that moments of silence in a university setting are constitutionally allowable under the Establishment Clause of the First Amendment to the United States Constitution</w:t>
      </w:r>
      <w:r>
        <w:rPr>
          <w:rFonts w:ascii="Times New Roman" w:eastAsia="Times New Roman" w:hAnsi="Times New Roman" w:cs="Times New Roman"/>
          <w:sz w:val="15"/>
          <w:szCs w:val="15"/>
          <w:vertAlign w:val="superscript"/>
        </w:rPr>
        <w:footnoteReference w:id="4"/>
      </w:r>
      <w:r>
        <w:rPr>
          <w:rFonts w:ascii="Times New Roman"/>
          <w:sz w:val="15"/>
          <w:szCs w:val="15"/>
        </w:rPr>
        <w:t xml:space="preserve">, and </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 xml:space="preserve">WHEREAS: </w:t>
      </w:r>
      <w:r>
        <w:rPr>
          <w:rFonts w:ascii="Times New Roman"/>
          <w:sz w:val="15"/>
          <w:szCs w:val="15"/>
        </w:rPr>
        <w:tab/>
        <w:t xml:space="preserve">A </w:t>
      </w:r>
      <w:r>
        <w:rPr>
          <w:rFonts w:ascii="Times New Roman"/>
          <w:sz w:val="15"/>
          <w:szCs w:val="15"/>
        </w:rPr>
        <w:t>moment of silence has a secular purpose, neither advances nor inh</w:t>
      </w:r>
      <w:r>
        <w:rPr>
          <w:rFonts w:ascii="Times New Roman"/>
          <w:sz w:val="15"/>
          <w:szCs w:val="15"/>
        </w:rPr>
        <w:t>ibits any specific religion, and does not foster an excessive government entanglement with religion</w:t>
      </w:r>
      <w:r>
        <w:rPr>
          <w:rFonts w:ascii="Times New Roman" w:eastAsia="Times New Roman" w:hAnsi="Times New Roman" w:cs="Times New Roman"/>
          <w:sz w:val="15"/>
          <w:szCs w:val="15"/>
          <w:vertAlign w:val="superscript"/>
        </w:rPr>
        <w:footnoteReference w:id="5"/>
      </w:r>
      <w:r>
        <w:rPr>
          <w:rFonts w:ascii="Times New Roman"/>
          <w:sz w:val="15"/>
          <w:szCs w:val="15"/>
        </w:rPr>
        <w:t xml:space="preserve">, and </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 xml:space="preserve">WHEREAS: </w:t>
      </w:r>
      <w:r>
        <w:rPr>
          <w:rFonts w:ascii="Times New Roman"/>
          <w:sz w:val="15"/>
          <w:szCs w:val="15"/>
        </w:rPr>
        <w:tab/>
        <w:t xml:space="preserve">A </w:t>
      </w:r>
      <w:r>
        <w:rPr>
          <w:rFonts w:ascii="Times New Roman"/>
          <w:sz w:val="15"/>
          <w:szCs w:val="15"/>
        </w:rPr>
        <w:t xml:space="preserve">moment of silence does not violate the Free Exercise Clause of the First Amendment of the United States Constitution because no one is </w:t>
      </w:r>
      <w:r>
        <w:rPr>
          <w:rFonts w:hAnsi="Times New Roman"/>
          <w:sz w:val="15"/>
          <w:szCs w:val="15"/>
        </w:rPr>
        <w:t>“</w:t>
      </w:r>
      <w:r>
        <w:rPr>
          <w:rFonts w:ascii="Times New Roman"/>
          <w:sz w:val="15"/>
          <w:szCs w:val="15"/>
        </w:rPr>
        <w:t>required to participate in any religious exercise [they] find objectionable,</w:t>
      </w:r>
      <w:r>
        <w:rPr>
          <w:rFonts w:hAnsi="Times New Roman"/>
          <w:sz w:val="15"/>
          <w:szCs w:val="15"/>
        </w:rPr>
        <w:t>”</w:t>
      </w:r>
      <w:r>
        <w:rPr>
          <w:rFonts w:ascii="Times New Roman" w:eastAsia="Times New Roman" w:hAnsi="Times New Roman" w:cs="Times New Roman"/>
          <w:sz w:val="15"/>
          <w:szCs w:val="15"/>
          <w:vertAlign w:val="superscript"/>
        </w:rPr>
        <w:footnoteReference w:id="6"/>
      </w:r>
      <w:r>
        <w:rPr>
          <w:rFonts w:ascii="Times New Roman"/>
          <w:sz w:val="15"/>
          <w:szCs w:val="15"/>
        </w:rPr>
        <w:t xml:space="preserve"> and</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This policy would not prevent individuals from praying and exercising their personal religious beliefs, but rather prevent the use of sectarian prayers, spoken alo</w:t>
      </w:r>
      <w:r>
        <w:rPr>
          <w:rFonts w:ascii="Times New Roman"/>
          <w:sz w:val="15"/>
          <w:szCs w:val="15"/>
        </w:rPr>
        <w:t>ud to groups, at university-sponsored events, and</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A university-sponsored event should be defined as an event held on University property, and</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 xml:space="preserve">There should be an exemption to the policy when the prayer is given to a group of like-minded </w:t>
      </w:r>
      <w:r>
        <w:rPr>
          <w:rFonts w:ascii="Times New Roman"/>
          <w:sz w:val="15"/>
          <w:szCs w:val="15"/>
        </w:rPr>
        <w:t>individuals gathered for the express purpose of worshiping, and</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 xml:space="preserve">WHEREAS: </w:t>
      </w:r>
      <w:r>
        <w:rPr>
          <w:rFonts w:ascii="Times New Roman"/>
          <w:sz w:val="15"/>
          <w:szCs w:val="15"/>
        </w:rPr>
        <w:tab/>
        <w:t xml:space="preserve">This policy would not prevent student from praying, </w:t>
      </w:r>
      <w:r>
        <w:rPr>
          <w:rFonts w:hAnsi="Times New Roman"/>
          <w:sz w:val="15"/>
          <w:szCs w:val="15"/>
        </w:rPr>
        <w:t>“</w:t>
      </w:r>
      <w:r>
        <w:rPr>
          <w:rFonts w:ascii="Times New Roman"/>
          <w:sz w:val="15"/>
          <w:szCs w:val="15"/>
        </w:rPr>
        <w:t>individually or in groups, during or surrounding institution-related events,</w:t>
      </w:r>
      <w:r>
        <w:rPr>
          <w:rFonts w:hAnsi="Times New Roman"/>
          <w:sz w:val="15"/>
          <w:szCs w:val="15"/>
        </w:rPr>
        <w:t>”</w:t>
      </w:r>
      <w:r>
        <w:rPr>
          <w:rFonts w:ascii="Times New Roman" w:eastAsia="Times New Roman" w:hAnsi="Times New Roman" w:cs="Times New Roman"/>
          <w:sz w:val="15"/>
          <w:szCs w:val="15"/>
          <w:vertAlign w:val="superscript"/>
        </w:rPr>
        <w:footnoteReference w:id="7"/>
      </w:r>
      <w:r>
        <w:rPr>
          <w:rFonts w:ascii="Times New Roman"/>
          <w:sz w:val="15"/>
          <w:szCs w:val="15"/>
        </w:rPr>
        <w:t xml:space="preserve"> and</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 xml:space="preserve">President </w:t>
      </w:r>
      <w:proofErr w:type="spellStart"/>
      <w:r>
        <w:rPr>
          <w:rFonts w:ascii="Times New Roman"/>
          <w:sz w:val="15"/>
          <w:szCs w:val="15"/>
        </w:rPr>
        <w:t>Ransdell</w:t>
      </w:r>
      <w:proofErr w:type="spellEnd"/>
      <w:r>
        <w:rPr>
          <w:rFonts w:ascii="Times New Roman"/>
          <w:sz w:val="15"/>
          <w:szCs w:val="15"/>
        </w:rPr>
        <w:t xml:space="preserve"> has declined to </w:t>
      </w:r>
      <w:r>
        <w:rPr>
          <w:rFonts w:ascii="Times New Roman"/>
          <w:sz w:val="15"/>
          <w:szCs w:val="15"/>
        </w:rPr>
        <w:t xml:space="preserve">implement the policy, saying </w:t>
      </w:r>
      <w:r>
        <w:rPr>
          <w:rFonts w:hAnsi="Times New Roman"/>
          <w:sz w:val="15"/>
          <w:szCs w:val="15"/>
        </w:rPr>
        <w:t>“</w:t>
      </w:r>
      <w:r>
        <w:rPr>
          <w:rFonts w:ascii="Times New Roman"/>
          <w:sz w:val="15"/>
          <w:szCs w:val="15"/>
        </w:rPr>
        <w:t>a violation of a formal policy requires disciplinary action, and we are not prepared to take disciplinary action against faculty, staff, or students over prayer,</w:t>
      </w:r>
      <w:r>
        <w:rPr>
          <w:rFonts w:hAnsi="Times New Roman"/>
          <w:sz w:val="15"/>
          <w:szCs w:val="15"/>
        </w:rPr>
        <w:t>”</w:t>
      </w:r>
      <w:r>
        <w:rPr>
          <w:rFonts w:hAnsi="Times New Roman"/>
          <w:sz w:val="15"/>
          <w:szCs w:val="15"/>
        </w:rPr>
        <w:t xml:space="preserve"> </w:t>
      </w:r>
      <w:r>
        <w:rPr>
          <w:rFonts w:ascii="Times New Roman"/>
          <w:sz w:val="15"/>
          <w:szCs w:val="15"/>
        </w:rPr>
        <w:t xml:space="preserve">and </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WHEREAS:</w:t>
      </w:r>
      <w:r>
        <w:rPr>
          <w:rFonts w:ascii="Times New Roman"/>
          <w:sz w:val="15"/>
          <w:szCs w:val="15"/>
        </w:rPr>
        <w:tab/>
        <w:t xml:space="preserve">A policy could be implemented as a guideline </w:t>
      </w:r>
      <w:r>
        <w:rPr>
          <w:rFonts w:ascii="Times New Roman"/>
          <w:sz w:val="15"/>
          <w:szCs w:val="15"/>
        </w:rPr>
        <w:t>without punitive measures associated with it.</w:t>
      </w:r>
    </w:p>
    <w:p w:rsidR="003D2298" w:rsidRDefault="003D2298">
      <w:pPr>
        <w:pStyle w:val="Default"/>
        <w:ind w:left="1440" w:hanging="144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THEREFORE:</w:t>
      </w:r>
      <w:r>
        <w:rPr>
          <w:rFonts w:ascii="Times New Roman"/>
          <w:sz w:val="15"/>
          <w:szCs w:val="15"/>
        </w:rPr>
        <w:tab/>
        <w:t xml:space="preserve">Be it resolved that the Student Government Association supports the adoption of a policy mandating moments of silence rather than prayer for public events at Western Kentucky University, and  </w:t>
      </w:r>
    </w:p>
    <w:p w:rsidR="003D2298" w:rsidRDefault="003D2298">
      <w:pPr>
        <w:pStyle w:val="Default"/>
        <w:ind w:left="1440" w:hanging="144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THER</w:t>
      </w:r>
      <w:r>
        <w:rPr>
          <w:rFonts w:ascii="Times New Roman"/>
          <w:sz w:val="15"/>
          <w:szCs w:val="15"/>
        </w:rPr>
        <w:t xml:space="preserve">EFORE: </w:t>
      </w:r>
      <w:r>
        <w:rPr>
          <w:rFonts w:ascii="Times New Roman"/>
          <w:sz w:val="15"/>
          <w:szCs w:val="15"/>
        </w:rPr>
        <w:tab/>
        <w:t xml:space="preserve">Be it further resolved that the Student Government Association of Western Kentucky University supports the University Senate and the proposed public prayer policy, with some amendments, and </w:t>
      </w:r>
    </w:p>
    <w:p w:rsidR="003D2298" w:rsidRDefault="003D2298">
      <w:pPr>
        <w:pStyle w:val="Default"/>
        <w:ind w:left="2160" w:hanging="2160"/>
        <w:rPr>
          <w:rFonts w:ascii="Times New Roman" w:eastAsia="Times New Roman" w:hAnsi="Times New Roman" w:cs="Times New Roman"/>
          <w:sz w:val="15"/>
          <w:szCs w:val="15"/>
        </w:rPr>
      </w:pPr>
    </w:p>
    <w:p w:rsidR="003D2298" w:rsidRDefault="00ED7B77">
      <w:pPr>
        <w:pStyle w:val="Default"/>
        <w:ind w:left="2160" w:hanging="2160"/>
        <w:rPr>
          <w:rFonts w:ascii="Times New Roman" w:eastAsia="Times New Roman" w:hAnsi="Times New Roman" w:cs="Times New Roman"/>
          <w:sz w:val="15"/>
          <w:szCs w:val="15"/>
        </w:rPr>
      </w:pPr>
      <w:r>
        <w:rPr>
          <w:rFonts w:ascii="Times New Roman"/>
          <w:sz w:val="15"/>
          <w:szCs w:val="15"/>
        </w:rPr>
        <w:t xml:space="preserve">THEREFORE: </w:t>
      </w:r>
      <w:r>
        <w:rPr>
          <w:rFonts w:ascii="Times New Roman"/>
          <w:sz w:val="15"/>
          <w:szCs w:val="15"/>
        </w:rPr>
        <w:tab/>
        <w:t>Be it further resolved that the Student Gove</w:t>
      </w:r>
      <w:r>
        <w:rPr>
          <w:rFonts w:ascii="Times New Roman"/>
          <w:sz w:val="15"/>
          <w:szCs w:val="15"/>
        </w:rPr>
        <w:t xml:space="preserve">rnment Association of Western Kentucky University opposes any punitive measures associated with this policy. </w:t>
      </w:r>
    </w:p>
    <w:p w:rsidR="003D2298" w:rsidRDefault="003D2298">
      <w:pPr>
        <w:pStyle w:val="Default"/>
        <w:ind w:left="1440" w:hanging="1440"/>
        <w:rPr>
          <w:rFonts w:ascii="Times New Roman" w:eastAsia="Times New Roman" w:hAnsi="Times New Roman" w:cs="Times New Roman"/>
          <w:sz w:val="15"/>
          <w:szCs w:val="15"/>
        </w:rPr>
      </w:pPr>
    </w:p>
    <w:p w:rsidR="003D2298" w:rsidRDefault="00ED7B77">
      <w:pPr>
        <w:pStyle w:val="Default"/>
        <w:ind w:left="1440" w:hanging="1440"/>
        <w:rPr>
          <w:rFonts w:ascii="Times New Roman" w:eastAsia="Times New Roman" w:hAnsi="Times New Roman" w:cs="Times New Roman"/>
          <w:sz w:val="15"/>
          <w:szCs w:val="15"/>
        </w:rPr>
      </w:pPr>
      <w:r>
        <w:rPr>
          <w:rFonts w:ascii="Times New Roman"/>
          <w:sz w:val="15"/>
          <w:szCs w:val="15"/>
        </w:rPr>
        <w:t>AUTHOR:</w:t>
      </w:r>
      <w:r>
        <w:rPr>
          <w:rFonts w:ascii="Times New Roman"/>
          <w:sz w:val="15"/>
          <w:szCs w:val="15"/>
        </w:rPr>
        <w:tab/>
      </w:r>
      <w:r>
        <w:rPr>
          <w:rFonts w:ascii="Times New Roman"/>
          <w:sz w:val="15"/>
          <w:szCs w:val="15"/>
        </w:rPr>
        <w:tab/>
        <w:t>Seth Church</w:t>
      </w:r>
    </w:p>
    <w:p w:rsidR="003D2298" w:rsidRDefault="003D2298">
      <w:pPr>
        <w:pStyle w:val="Default"/>
        <w:ind w:left="1440" w:hanging="1440"/>
        <w:rPr>
          <w:rFonts w:ascii="Times New Roman" w:eastAsia="Times New Roman" w:hAnsi="Times New Roman" w:cs="Times New Roman"/>
          <w:sz w:val="15"/>
          <w:szCs w:val="15"/>
        </w:rPr>
      </w:pPr>
    </w:p>
    <w:p w:rsidR="003D2298" w:rsidRDefault="00ED7B77">
      <w:pPr>
        <w:pStyle w:val="Default"/>
        <w:ind w:left="1440" w:hanging="1440"/>
        <w:rPr>
          <w:rFonts w:ascii="Times New Roman" w:eastAsia="Times New Roman" w:hAnsi="Times New Roman" w:cs="Times New Roman"/>
          <w:sz w:val="15"/>
          <w:szCs w:val="15"/>
        </w:rPr>
      </w:pPr>
      <w:r>
        <w:rPr>
          <w:rFonts w:ascii="Times New Roman"/>
          <w:sz w:val="15"/>
          <w:szCs w:val="15"/>
          <w:lang w:val="fr-FR"/>
        </w:rPr>
        <w:t>SPONSOR:</w:t>
      </w:r>
      <w:r>
        <w:rPr>
          <w:rFonts w:ascii="Times New Roman"/>
          <w:sz w:val="15"/>
          <w:szCs w:val="15"/>
          <w:lang w:val="fr-FR"/>
        </w:rPr>
        <w:tab/>
      </w:r>
      <w:r>
        <w:rPr>
          <w:rFonts w:ascii="Times New Roman"/>
          <w:sz w:val="15"/>
          <w:szCs w:val="15"/>
          <w:lang w:val="fr-FR"/>
        </w:rPr>
        <w:tab/>
      </w:r>
      <w:proofErr w:type="spellStart"/>
      <w:r>
        <w:rPr>
          <w:rFonts w:ascii="Times New Roman"/>
          <w:sz w:val="15"/>
          <w:szCs w:val="15"/>
          <w:lang w:val="fr-FR"/>
        </w:rPr>
        <w:t>Student</w:t>
      </w:r>
      <w:proofErr w:type="spellEnd"/>
      <w:r>
        <w:rPr>
          <w:rFonts w:ascii="Times New Roman"/>
          <w:sz w:val="15"/>
          <w:szCs w:val="15"/>
          <w:lang w:val="fr-FR"/>
        </w:rPr>
        <w:t xml:space="preserve"> </w:t>
      </w:r>
      <w:proofErr w:type="spellStart"/>
      <w:r>
        <w:rPr>
          <w:rFonts w:ascii="Times New Roman"/>
          <w:sz w:val="15"/>
          <w:szCs w:val="15"/>
          <w:lang w:val="fr-FR"/>
        </w:rPr>
        <w:t>Affairs</w:t>
      </w:r>
      <w:proofErr w:type="spellEnd"/>
    </w:p>
    <w:p w:rsidR="003D2298" w:rsidRDefault="003D2298">
      <w:pPr>
        <w:pStyle w:val="Default"/>
        <w:ind w:left="1440" w:hanging="1440"/>
        <w:rPr>
          <w:rFonts w:ascii="Times New Roman" w:eastAsia="Times New Roman" w:hAnsi="Times New Roman" w:cs="Times New Roman"/>
          <w:sz w:val="15"/>
          <w:szCs w:val="15"/>
        </w:rPr>
      </w:pPr>
    </w:p>
    <w:p w:rsidR="003D2298" w:rsidRDefault="00ED7B77">
      <w:pPr>
        <w:pStyle w:val="Default"/>
        <w:ind w:left="1440" w:hanging="1440"/>
        <w:rPr>
          <w:rFonts w:ascii="Times New Roman" w:eastAsia="Times New Roman" w:hAnsi="Times New Roman" w:cs="Times New Roman"/>
          <w:sz w:val="15"/>
          <w:szCs w:val="15"/>
        </w:rPr>
      </w:pPr>
      <w:r>
        <w:rPr>
          <w:rFonts w:ascii="Times New Roman"/>
          <w:sz w:val="15"/>
          <w:szCs w:val="15"/>
        </w:rPr>
        <w:t>CONTACTS:</w:t>
      </w:r>
      <w:r>
        <w:rPr>
          <w:rFonts w:ascii="Times New Roman"/>
          <w:sz w:val="15"/>
          <w:szCs w:val="15"/>
        </w:rPr>
        <w:tab/>
      </w:r>
      <w:r>
        <w:rPr>
          <w:rFonts w:ascii="Times New Roman"/>
          <w:sz w:val="15"/>
          <w:szCs w:val="15"/>
        </w:rPr>
        <w:tab/>
        <w:t>Margaret Crowder</w:t>
      </w:r>
      <w:r>
        <w:rPr>
          <w:rFonts w:ascii="Times New Roman"/>
          <w:sz w:val="15"/>
          <w:szCs w:val="15"/>
        </w:rPr>
        <w:t xml:space="preserve">, </w:t>
      </w:r>
      <w:r>
        <w:rPr>
          <w:rFonts w:ascii="Times New Roman"/>
          <w:sz w:val="15"/>
          <w:szCs w:val="15"/>
        </w:rPr>
        <w:t xml:space="preserve">Gary </w:t>
      </w:r>
      <w:proofErr w:type="spellStart"/>
      <w:r>
        <w:rPr>
          <w:rFonts w:ascii="Times New Roman"/>
          <w:sz w:val="15"/>
          <w:szCs w:val="15"/>
        </w:rPr>
        <w:t>Ransdel</w:t>
      </w:r>
      <w:r>
        <w:rPr>
          <w:rFonts w:ascii="Times New Roman"/>
          <w:sz w:val="15"/>
          <w:szCs w:val="15"/>
        </w:rPr>
        <w:t>l</w:t>
      </w:r>
      <w:proofErr w:type="spellEnd"/>
      <w:r>
        <w:rPr>
          <w:rFonts w:ascii="Times New Roman"/>
          <w:sz w:val="15"/>
          <w:szCs w:val="15"/>
        </w:rPr>
        <w:t xml:space="preserve">, </w:t>
      </w:r>
      <w:r>
        <w:rPr>
          <w:rFonts w:ascii="Times New Roman"/>
          <w:sz w:val="15"/>
          <w:szCs w:val="15"/>
        </w:rPr>
        <w:t>Howard Bailey</w:t>
      </w:r>
      <w:r>
        <w:rPr>
          <w:rFonts w:ascii="Times New Roman"/>
          <w:sz w:val="15"/>
          <w:szCs w:val="15"/>
        </w:rPr>
        <w:t xml:space="preserve">, </w:t>
      </w:r>
      <w:r>
        <w:rPr>
          <w:rFonts w:ascii="Times New Roman"/>
          <w:sz w:val="15"/>
          <w:szCs w:val="15"/>
          <w:lang w:val="de-DE"/>
        </w:rPr>
        <w:t>Richard Miller</w:t>
      </w:r>
      <w:r>
        <w:rPr>
          <w:rFonts w:ascii="Times New Roman"/>
          <w:sz w:val="15"/>
          <w:szCs w:val="15"/>
        </w:rPr>
        <w:t xml:space="preserve">, </w:t>
      </w:r>
      <w:r>
        <w:rPr>
          <w:rFonts w:ascii="Times New Roman"/>
          <w:sz w:val="15"/>
          <w:szCs w:val="15"/>
          <w:lang w:val="nl-NL"/>
        </w:rPr>
        <w:t>Deborah Wilkins</w:t>
      </w:r>
    </w:p>
    <w:p w:rsidR="003D2298" w:rsidRDefault="003D2298">
      <w:pPr>
        <w:pStyle w:val="Default"/>
        <w:ind w:left="1440" w:right="720" w:hanging="1440"/>
        <w:rPr>
          <w:rFonts w:ascii="Times New Roman" w:eastAsia="Times New Roman" w:hAnsi="Times New Roman" w:cs="Times New Roman"/>
          <w:sz w:val="24"/>
          <w:szCs w:val="24"/>
        </w:rPr>
      </w:pPr>
    </w:p>
    <w:p w:rsidR="003D2298" w:rsidRDefault="003D2298">
      <w:pPr>
        <w:pStyle w:val="Default"/>
      </w:pPr>
    </w:p>
    <w:sectPr w:rsidR="003D229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77" w:rsidRDefault="00ED7B77">
      <w:r>
        <w:separator/>
      </w:r>
    </w:p>
  </w:endnote>
  <w:endnote w:type="continuationSeparator" w:id="0">
    <w:p w:rsidR="00ED7B77" w:rsidRDefault="00ED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98" w:rsidRDefault="003D2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77" w:rsidRDefault="00ED7B77">
      <w:r>
        <w:separator/>
      </w:r>
    </w:p>
  </w:footnote>
  <w:footnote w:type="continuationSeparator" w:id="0">
    <w:p w:rsidR="00ED7B77" w:rsidRDefault="00ED7B77">
      <w:r>
        <w:continuationSeparator/>
      </w:r>
    </w:p>
  </w:footnote>
  <w:footnote w:type="continuationNotice" w:id="1">
    <w:p w:rsidR="00ED7B77" w:rsidRDefault="00ED7B77"/>
  </w:footnote>
  <w:footnote w:id="2">
    <w:p w:rsidR="003D2298" w:rsidRDefault="00ED7B77">
      <w:pPr>
        <w:pStyle w:val="Footnote"/>
      </w:pPr>
      <w:r>
        <w:rPr>
          <w:sz w:val="10"/>
          <w:szCs w:val="10"/>
          <w:vertAlign w:val="superscript"/>
        </w:rPr>
        <w:footnoteRef/>
      </w:r>
      <w:r>
        <w:rPr>
          <w:sz w:val="10"/>
          <w:szCs w:val="10"/>
          <w:lang w:val="nl-NL"/>
        </w:rPr>
        <w:t xml:space="preserve"> See </w:t>
      </w:r>
      <w:r>
        <w:rPr>
          <w:i/>
          <w:iCs/>
          <w:sz w:val="10"/>
          <w:szCs w:val="10"/>
        </w:rPr>
        <w:t xml:space="preserve">Everson v. </w:t>
      </w:r>
      <w:proofErr w:type="gramStart"/>
      <w:r>
        <w:rPr>
          <w:i/>
          <w:iCs/>
          <w:sz w:val="10"/>
          <w:szCs w:val="10"/>
        </w:rPr>
        <w:t>Board of Education</w:t>
      </w:r>
      <w:r>
        <w:rPr>
          <w:sz w:val="10"/>
          <w:szCs w:val="10"/>
        </w:rPr>
        <w:t>, 330 U.S. 1 (1947).</w:t>
      </w:r>
      <w:proofErr w:type="gramEnd"/>
    </w:p>
  </w:footnote>
  <w:footnote w:id="3">
    <w:p w:rsidR="003D2298" w:rsidRDefault="00ED7B77">
      <w:pPr>
        <w:pStyle w:val="Footnote"/>
      </w:pPr>
      <w:r>
        <w:rPr>
          <w:sz w:val="10"/>
          <w:szCs w:val="10"/>
          <w:vertAlign w:val="superscript"/>
        </w:rPr>
        <w:footnoteRef/>
      </w:r>
      <w:r>
        <w:rPr>
          <w:sz w:val="10"/>
          <w:szCs w:val="10"/>
        </w:rPr>
        <w:t xml:space="preserve"> </w:t>
      </w:r>
      <w:r>
        <w:rPr>
          <w:sz w:val="10"/>
          <w:szCs w:val="10"/>
          <w:lang w:val="nl-NL"/>
        </w:rPr>
        <w:t xml:space="preserve">See </w:t>
      </w:r>
      <w:r>
        <w:rPr>
          <w:i/>
          <w:iCs/>
          <w:sz w:val="10"/>
          <w:szCs w:val="10"/>
          <w:lang w:val="nl-NL"/>
        </w:rPr>
        <w:t>Engel v. Vitale</w:t>
      </w:r>
      <w:r>
        <w:rPr>
          <w:sz w:val="10"/>
          <w:szCs w:val="10"/>
        </w:rPr>
        <w:t xml:space="preserve">, 370 U.S. 421 (1962), </w:t>
      </w:r>
      <w:r>
        <w:rPr>
          <w:i/>
          <w:iCs/>
          <w:sz w:val="10"/>
          <w:szCs w:val="10"/>
          <w:lang w:val="nl-NL"/>
        </w:rPr>
        <w:t>Abington School District v. Schempp</w:t>
      </w:r>
      <w:r>
        <w:rPr>
          <w:sz w:val="10"/>
          <w:szCs w:val="10"/>
        </w:rPr>
        <w:t xml:space="preserve">, 374 U.S. 203 (1963), </w:t>
      </w:r>
      <w:r>
        <w:rPr>
          <w:i/>
          <w:iCs/>
          <w:sz w:val="10"/>
          <w:szCs w:val="10"/>
        </w:rPr>
        <w:t xml:space="preserve">Westside </w:t>
      </w:r>
      <w:r>
        <w:rPr>
          <w:i/>
          <w:iCs/>
          <w:sz w:val="10"/>
          <w:szCs w:val="10"/>
        </w:rPr>
        <w:t xml:space="preserve">School District v. </w:t>
      </w:r>
      <w:proofErr w:type="spellStart"/>
      <w:proofErr w:type="gramStart"/>
      <w:r>
        <w:rPr>
          <w:i/>
          <w:iCs/>
          <w:sz w:val="10"/>
          <w:szCs w:val="10"/>
        </w:rPr>
        <w:t>Mergens</w:t>
      </w:r>
      <w:proofErr w:type="spellEnd"/>
      <w:r>
        <w:rPr>
          <w:sz w:val="10"/>
          <w:szCs w:val="10"/>
        </w:rPr>
        <w:t>, 496 U.S. 226 (1990).</w:t>
      </w:r>
      <w:proofErr w:type="gramEnd"/>
    </w:p>
  </w:footnote>
  <w:footnote w:id="4">
    <w:p w:rsidR="003D2298" w:rsidRDefault="00ED7B77">
      <w:pPr>
        <w:pStyle w:val="Footnote"/>
      </w:pPr>
      <w:r>
        <w:rPr>
          <w:sz w:val="10"/>
          <w:szCs w:val="10"/>
          <w:vertAlign w:val="superscript"/>
        </w:rPr>
        <w:footnoteRef/>
      </w:r>
      <w:r>
        <w:rPr>
          <w:sz w:val="10"/>
          <w:szCs w:val="10"/>
        </w:rPr>
        <w:t xml:space="preserve"> S</w:t>
      </w:r>
      <w:r>
        <w:rPr>
          <w:sz w:val="10"/>
          <w:szCs w:val="10"/>
          <w:lang w:val="nl-NL"/>
        </w:rPr>
        <w:t xml:space="preserve">ee </w:t>
      </w:r>
      <w:r>
        <w:rPr>
          <w:i/>
          <w:iCs/>
          <w:sz w:val="10"/>
          <w:szCs w:val="10"/>
        </w:rPr>
        <w:t>Chaudhuri v. Tennessee</w:t>
      </w:r>
      <w:r>
        <w:rPr>
          <w:sz w:val="10"/>
          <w:szCs w:val="10"/>
        </w:rPr>
        <w:t xml:space="preserve">, 130 F. 3d 232 (1995) and </w:t>
      </w:r>
      <w:r>
        <w:rPr>
          <w:i/>
          <w:iCs/>
          <w:sz w:val="10"/>
          <w:szCs w:val="10"/>
          <w:lang w:val="nl-NL"/>
        </w:rPr>
        <w:t>Tanford v. Brand</w:t>
      </w:r>
      <w:r>
        <w:rPr>
          <w:sz w:val="10"/>
          <w:szCs w:val="10"/>
        </w:rPr>
        <w:t>, 104 F. 3d 982.</w:t>
      </w:r>
    </w:p>
  </w:footnote>
  <w:footnote w:id="5">
    <w:p w:rsidR="003D2298" w:rsidRDefault="00ED7B77">
      <w:pPr>
        <w:pStyle w:val="Footnote"/>
      </w:pPr>
      <w:r>
        <w:rPr>
          <w:sz w:val="10"/>
          <w:szCs w:val="10"/>
          <w:vertAlign w:val="superscript"/>
        </w:rPr>
        <w:footnoteRef/>
      </w:r>
      <w:r>
        <w:rPr>
          <w:sz w:val="10"/>
          <w:szCs w:val="10"/>
        </w:rPr>
        <w:t xml:space="preserve"> </w:t>
      </w:r>
      <w:r>
        <w:rPr>
          <w:sz w:val="10"/>
          <w:szCs w:val="10"/>
          <w:lang w:val="nl-NL"/>
        </w:rPr>
        <w:t xml:space="preserve">See </w:t>
      </w:r>
      <w:r>
        <w:rPr>
          <w:i/>
          <w:iCs/>
          <w:sz w:val="10"/>
          <w:szCs w:val="10"/>
          <w:lang w:val="de-DE"/>
        </w:rPr>
        <w:t>Lemon v. Kurtzman</w:t>
      </w:r>
      <w:r>
        <w:rPr>
          <w:sz w:val="10"/>
          <w:szCs w:val="10"/>
        </w:rPr>
        <w:t xml:space="preserve">, 403 U.S. 602 for the test. This was specifically examined by the courts in </w:t>
      </w:r>
      <w:r>
        <w:rPr>
          <w:i/>
          <w:iCs/>
          <w:sz w:val="10"/>
          <w:szCs w:val="10"/>
        </w:rPr>
        <w:t xml:space="preserve">Chaudhuri v. </w:t>
      </w:r>
      <w:r>
        <w:rPr>
          <w:i/>
          <w:iCs/>
          <w:sz w:val="10"/>
          <w:szCs w:val="10"/>
        </w:rPr>
        <w:t>Tennessee</w:t>
      </w:r>
      <w:r>
        <w:rPr>
          <w:sz w:val="10"/>
          <w:szCs w:val="10"/>
        </w:rPr>
        <w:t xml:space="preserve">. </w:t>
      </w:r>
    </w:p>
  </w:footnote>
  <w:footnote w:id="6">
    <w:p w:rsidR="003D2298" w:rsidRDefault="00ED7B77">
      <w:pPr>
        <w:pStyle w:val="Footnote"/>
      </w:pPr>
      <w:r>
        <w:rPr>
          <w:sz w:val="10"/>
          <w:szCs w:val="10"/>
          <w:vertAlign w:val="superscript"/>
        </w:rPr>
        <w:footnoteRef/>
      </w:r>
      <w:r>
        <w:rPr>
          <w:sz w:val="10"/>
          <w:szCs w:val="10"/>
          <w:lang w:val="nl-NL"/>
        </w:rPr>
        <w:t xml:space="preserve"> </w:t>
      </w:r>
      <w:r>
        <w:rPr>
          <w:sz w:val="10"/>
          <w:szCs w:val="10"/>
          <w:lang w:val="nl-NL"/>
        </w:rPr>
        <w:t xml:space="preserve">See </w:t>
      </w:r>
      <w:r>
        <w:rPr>
          <w:i/>
          <w:iCs/>
          <w:sz w:val="10"/>
          <w:szCs w:val="10"/>
        </w:rPr>
        <w:t>Chaudhuri v. Tennessee</w:t>
      </w:r>
      <w:r>
        <w:rPr>
          <w:sz w:val="10"/>
          <w:szCs w:val="10"/>
        </w:rPr>
        <w:t xml:space="preserve">. </w:t>
      </w:r>
    </w:p>
  </w:footnote>
  <w:footnote w:id="7">
    <w:p w:rsidR="003D2298" w:rsidRDefault="00ED7B77">
      <w:pPr>
        <w:pStyle w:val="Footnote"/>
      </w:pPr>
      <w:r>
        <w:rPr>
          <w:sz w:val="10"/>
          <w:szCs w:val="10"/>
          <w:vertAlign w:val="superscript"/>
        </w:rPr>
        <w:footnoteRef/>
      </w:r>
      <w:r>
        <w:rPr>
          <w:sz w:val="10"/>
          <w:szCs w:val="10"/>
        </w:rPr>
        <w:t xml:space="preserve"> See Joseph </w:t>
      </w:r>
      <w:proofErr w:type="spellStart"/>
      <w:r>
        <w:rPr>
          <w:sz w:val="10"/>
          <w:szCs w:val="10"/>
        </w:rPr>
        <w:t>Storch</w:t>
      </w:r>
      <w:proofErr w:type="spellEnd"/>
      <w:r>
        <w:rPr>
          <w:sz w:val="10"/>
          <w:szCs w:val="10"/>
        </w:rPr>
        <w:t xml:space="preserve"> and Brendan Venter, </w:t>
      </w:r>
      <w:r>
        <w:rPr>
          <w:sz w:val="10"/>
          <w:szCs w:val="10"/>
        </w:rPr>
        <w:t>“</w:t>
      </w:r>
      <w:r>
        <w:rPr>
          <w:sz w:val="10"/>
          <w:szCs w:val="10"/>
        </w:rPr>
        <w:t>Prayer at public college and university events: parsing the free speech, free exercise and establishment clause issues,</w:t>
      </w:r>
      <w:r>
        <w:rPr>
          <w:sz w:val="10"/>
          <w:szCs w:val="10"/>
        </w:rPr>
        <w:t xml:space="preserve">” </w:t>
      </w:r>
      <w:r>
        <w:rPr>
          <w:i/>
          <w:iCs/>
          <w:sz w:val="10"/>
          <w:szCs w:val="10"/>
        </w:rPr>
        <w:t>National Association of College and University Atto</w:t>
      </w:r>
      <w:r>
        <w:rPr>
          <w:i/>
          <w:iCs/>
          <w:sz w:val="10"/>
          <w:szCs w:val="10"/>
        </w:rPr>
        <w:t>rneys Notes</w:t>
      </w:r>
      <w:r>
        <w:rPr>
          <w:sz w:val="10"/>
          <w:szCs w:val="10"/>
        </w:rPr>
        <w:t xml:space="preserve"> 11, no. 11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98" w:rsidRDefault="003D22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3D2298"/>
    <w:rsid w:val="003D2298"/>
    <w:rsid w:val="006D3D4A"/>
    <w:rsid w:val="00E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Hazelip</dc:creator>
  <cp:lastModifiedBy>Sarah</cp:lastModifiedBy>
  <cp:revision>2</cp:revision>
  <dcterms:created xsi:type="dcterms:W3CDTF">2015-05-08T20:57:00Z</dcterms:created>
  <dcterms:modified xsi:type="dcterms:W3CDTF">2015-05-08T20:57:00Z</dcterms:modified>
</cp:coreProperties>
</file>