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C182" w14:textId="77777777" w:rsidR="00B7432A" w:rsidRPr="00C707E7" w:rsidRDefault="00B7432A" w:rsidP="00D13231">
      <w:pPr>
        <w:spacing w:after="0" w:line="240" w:lineRule="auto"/>
        <w:contextualSpacing/>
        <w:rPr>
          <w:rFonts w:cstheme="minorHAnsi"/>
          <w:b/>
          <w:bCs/>
          <w:sz w:val="18"/>
          <w:szCs w:val="18"/>
        </w:rPr>
      </w:pPr>
      <w:r w:rsidRPr="00C707E7">
        <w:rPr>
          <w:rFonts w:cstheme="minorHAnsi"/>
          <w:b/>
          <w:bCs/>
          <w:sz w:val="18"/>
          <w:szCs w:val="18"/>
        </w:rPr>
        <w:t>EXPLORATIONS - ARTS AND HUMANITIES (E-AH)</w:t>
      </w:r>
    </w:p>
    <w:p w14:paraId="69B74F4C" w14:textId="77777777" w:rsidR="00B7432A" w:rsidRPr="00C707E7" w:rsidRDefault="00B7432A" w:rsidP="00D13231">
      <w:pPr>
        <w:spacing w:after="0" w:line="240" w:lineRule="auto"/>
        <w:contextualSpacing/>
        <w:rPr>
          <w:rFonts w:cstheme="minorHAnsi"/>
          <w:b/>
          <w:bCs/>
          <w:sz w:val="18"/>
          <w:szCs w:val="18"/>
        </w:rPr>
      </w:pPr>
      <w:r w:rsidRPr="00C707E7">
        <w:rPr>
          <w:rFonts w:cstheme="minorHAnsi"/>
          <w:b/>
          <w:bCs/>
          <w:sz w:val="18"/>
          <w:szCs w:val="18"/>
        </w:rPr>
        <w:t>CLO ARTIFACT ASSESSMENT RUBRIC</w:t>
      </w:r>
    </w:p>
    <w:p w14:paraId="386A03DB" w14:textId="77777777" w:rsidR="00B7432A" w:rsidRDefault="00B7432A" w:rsidP="00D13231">
      <w:pPr>
        <w:spacing w:after="0" w:line="240" w:lineRule="auto"/>
        <w:contextualSpacing/>
        <w:rPr>
          <w:rFonts w:cstheme="minorHAnsi"/>
          <w:i/>
          <w:iCs/>
          <w:sz w:val="18"/>
          <w:szCs w:val="18"/>
        </w:rPr>
      </w:pPr>
      <w:r w:rsidRPr="00C707E7">
        <w:rPr>
          <w:rFonts w:cstheme="minorHAnsi"/>
          <w:i/>
          <w:iCs/>
          <w:sz w:val="18"/>
          <w:szCs w:val="18"/>
        </w:rPr>
        <w:t>Adapted from the ENG 200 Literary Studies Rubric</w:t>
      </w:r>
    </w:p>
    <w:p w14:paraId="5622BBF4" w14:textId="77777777" w:rsidR="00B7432A" w:rsidRPr="00C707E7" w:rsidRDefault="00B7432A" w:rsidP="00D13231">
      <w:pPr>
        <w:spacing w:after="0" w:line="240" w:lineRule="auto"/>
        <w:contextualSpacing/>
        <w:rPr>
          <w:rFonts w:cstheme="minorHAnsi"/>
          <w:i/>
          <w:iCs/>
          <w:sz w:val="18"/>
          <w:szCs w:val="18"/>
        </w:rPr>
      </w:pPr>
    </w:p>
    <w:tbl>
      <w:tblPr>
        <w:tblStyle w:val="TableGrid"/>
        <w:tblW w:w="0" w:type="auto"/>
        <w:tblLook w:val="04A0" w:firstRow="1" w:lastRow="0" w:firstColumn="1" w:lastColumn="0" w:noHBand="0" w:noVBand="1"/>
      </w:tblPr>
      <w:tblGrid>
        <w:gridCol w:w="2878"/>
        <w:gridCol w:w="2878"/>
        <w:gridCol w:w="2878"/>
        <w:gridCol w:w="2878"/>
        <w:gridCol w:w="2878"/>
      </w:tblGrid>
      <w:tr w:rsidR="00B7432A" w:rsidRPr="00C707E7" w14:paraId="413056EC" w14:textId="77777777" w:rsidTr="009350EB">
        <w:tc>
          <w:tcPr>
            <w:tcW w:w="2878" w:type="dxa"/>
            <w:shd w:val="clear" w:color="auto" w:fill="BFBFBF" w:themeFill="background1" w:themeFillShade="BF"/>
            <w:vAlign w:val="center"/>
          </w:tcPr>
          <w:p w14:paraId="0D915FDA" w14:textId="77777777" w:rsidR="00B7432A" w:rsidRPr="00C707E7" w:rsidRDefault="00B7432A" w:rsidP="00D13231">
            <w:pPr>
              <w:spacing w:after="0" w:line="240" w:lineRule="auto"/>
              <w:contextualSpacing/>
              <w:jc w:val="center"/>
              <w:rPr>
                <w:rFonts w:cstheme="minorHAnsi"/>
                <w:b/>
                <w:bCs/>
                <w:sz w:val="18"/>
                <w:szCs w:val="18"/>
              </w:rPr>
            </w:pPr>
            <w:r w:rsidRPr="00C707E7">
              <w:rPr>
                <w:rFonts w:cstheme="minorHAnsi"/>
                <w:b/>
                <w:bCs/>
                <w:sz w:val="18"/>
                <w:szCs w:val="18"/>
              </w:rPr>
              <w:t>E-AH CLO 1</w:t>
            </w:r>
          </w:p>
        </w:tc>
        <w:tc>
          <w:tcPr>
            <w:tcW w:w="2878" w:type="dxa"/>
            <w:shd w:val="clear" w:color="auto" w:fill="BFBFBF" w:themeFill="background1" w:themeFillShade="BF"/>
            <w:vAlign w:val="center"/>
          </w:tcPr>
          <w:p w14:paraId="1D16EA5D"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Capstone (4)</w:t>
            </w:r>
          </w:p>
        </w:tc>
        <w:tc>
          <w:tcPr>
            <w:tcW w:w="2878" w:type="dxa"/>
            <w:shd w:val="clear" w:color="auto" w:fill="BFBFBF" w:themeFill="background1" w:themeFillShade="BF"/>
            <w:vAlign w:val="center"/>
          </w:tcPr>
          <w:p w14:paraId="1329C628"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(3)</w:t>
            </w:r>
          </w:p>
        </w:tc>
        <w:tc>
          <w:tcPr>
            <w:tcW w:w="2878" w:type="dxa"/>
            <w:shd w:val="clear" w:color="auto" w:fill="BFBFBF" w:themeFill="background1" w:themeFillShade="BF"/>
            <w:vAlign w:val="center"/>
          </w:tcPr>
          <w:p w14:paraId="44A3B43D"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(2)</w:t>
            </w:r>
          </w:p>
        </w:tc>
        <w:tc>
          <w:tcPr>
            <w:tcW w:w="2878" w:type="dxa"/>
            <w:shd w:val="clear" w:color="auto" w:fill="BFBFBF" w:themeFill="background1" w:themeFillShade="BF"/>
            <w:vAlign w:val="center"/>
          </w:tcPr>
          <w:p w14:paraId="57465B7B"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Benchmark (1)</w:t>
            </w:r>
          </w:p>
        </w:tc>
      </w:tr>
      <w:tr w:rsidR="00B7432A" w:rsidRPr="00C707E7" w14:paraId="3BECC34D" w14:textId="77777777" w:rsidTr="009350EB">
        <w:tc>
          <w:tcPr>
            <w:tcW w:w="2878" w:type="dxa"/>
            <w:vAlign w:val="center"/>
          </w:tcPr>
          <w:p w14:paraId="76838262" w14:textId="77777777" w:rsidR="00B7432A" w:rsidRPr="00C707E7" w:rsidRDefault="00B7432A" w:rsidP="00D13231">
            <w:pPr>
              <w:spacing w:after="0" w:line="240" w:lineRule="auto"/>
              <w:contextualSpacing/>
              <w:rPr>
                <w:rFonts w:cstheme="minorHAnsi"/>
                <w:b/>
                <w:bCs/>
                <w:sz w:val="18"/>
                <w:szCs w:val="18"/>
              </w:rPr>
            </w:pPr>
            <w:r w:rsidRPr="00C707E7">
              <w:rPr>
                <w:rFonts w:cstheme="minorHAnsi"/>
                <w:b/>
                <w:bCs/>
                <w:color w:val="C00000"/>
                <w:sz w:val="18"/>
                <w:szCs w:val="18"/>
              </w:rPr>
              <w:t>Utilize formal elements, techniques, concepts, and vocabulary of specific disciplines within the arts and humanities.</w:t>
            </w:r>
          </w:p>
        </w:tc>
        <w:tc>
          <w:tcPr>
            <w:tcW w:w="2878" w:type="dxa"/>
            <w:vAlign w:val="center"/>
          </w:tcPr>
          <w:p w14:paraId="2E2DE3F6"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Demonstrates accurate, clear, and precise comprehension of elements, techniques, concepts, and vocabulary of the discipline.</w:t>
            </w:r>
          </w:p>
        </w:tc>
        <w:tc>
          <w:tcPr>
            <w:tcW w:w="2878" w:type="dxa"/>
            <w:vAlign w:val="center"/>
          </w:tcPr>
          <w:p w14:paraId="318F1FAC"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Demonstrates accurate comprehension of elements, techniques, concepts, and vocabulary of the discipline.</w:t>
            </w:r>
          </w:p>
        </w:tc>
        <w:tc>
          <w:tcPr>
            <w:tcW w:w="2878" w:type="dxa"/>
            <w:vAlign w:val="center"/>
          </w:tcPr>
          <w:p w14:paraId="5ABED203"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Demonstrates limited or inexact comprehension of elements, techniques, concepts, and vocabulary of the discipline.</w:t>
            </w:r>
          </w:p>
        </w:tc>
        <w:tc>
          <w:tcPr>
            <w:tcW w:w="2878" w:type="dxa"/>
            <w:vAlign w:val="center"/>
          </w:tcPr>
          <w:p w14:paraId="658BB6B2"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Demonstrates beginning understanding of elements, techniques, concepts, and vocabulary of the discipline.</w:t>
            </w:r>
          </w:p>
        </w:tc>
      </w:tr>
      <w:tr w:rsidR="00B7432A" w:rsidRPr="00C707E7" w14:paraId="28ED6854" w14:textId="77777777" w:rsidTr="009350EB">
        <w:tc>
          <w:tcPr>
            <w:tcW w:w="2878" w:type="dxa"/>
            <w:shd w:val="clear" w:color="auto" w:fill="BFBFBF" w:themeFill="background1" w:themeFillShade="BF"/>
            <w:vAlign w:val="center"/>
          </w:tcPr>
          <w:p w14:paraId="050D2563" w14:textId="77777777" w:rsidR="00B7432A" w:rsidRPr="00C707E7" w:rsidRDefault="00B7432A" w:rsidP="00D13231">
            <w:pPr>
              <w:spacing w:after="0" w:line="240" w:lineRule="auto"/>
              <w:contextualSpacing/>
              <w:jc w:val="center"/>
              <w:rPr>
                <w:rFonts w:cstheme="minorHAnsi"/>
                <w:b/>
                <w:bCs/>
                <w:sz w:val="18"/>
                <w:szCs w:val="18"/>
              </w:rPr>
            </w:pPr>
            <w:r w:rsidRPr="00C707E7">
              <w:rPr>
                <w:rFonts w:cstheme="minorHAnsi"/>
                <w:b/>
                <w:bCs/>
                <w:sz w:val="18"/>
                <w:szCs w:val="18"/>
              </w:rPr>
              <w:t>E-AH CLO 2</w:t>
            </w:r>
          </w:p>
        </w:tc>
        <w:tc>
          <w:tcPr>
            <w:tcW w:w="2878" w:type="dxa"/>
            <w:shd w:val="clear" w:color="auto" w:fill="BFBFBF" w:themeFill="background1" w:themeFillShade="BF"/>
            <w:vAlign w:val="center"/>
          </w:tcPr>
          <w:p w14:paraId="645FF438"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Capstone (4)</w:t>
            </w:r>
          </w:p>
        </w:tc>
        <w:tc>
          <w:tcPr>
            <w:tcW w:w="2878" w:type="dxa"/>
            <w:shd w:val="clear" w:color="auto" w:fill="BFBFBF" w:themeFill="background1" w:themeFillShade="BF"/>
            <w:vAlign w:val="center"/>
          </w:tcPr>
          <w:p w14:paraId="5028FD75"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(3)</w:t>
            </w:r>
          </w:p>
        </w:tc>
        <w:tc>
          <w:tcPr>
            <w:tcW w:w="2878" w:type="dxa"/>
            <w:shd w:val="clear" w:color="auto" w:fill="BFBFBF" w:themeFill="background1" w:themeFillShade="BF"/>
            <w:vAlign w:val="center"/>
          </w:tcPr>
          <w:p w14:paraId="4F9047AC"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(2)</w:t>
            </w:r>
          </w:p>
        </w:tc>
        <w:tc>
          <w:tcPr>
            <w:tcW w:w="2878" w:type="dxa"/>
            <w:shd w:val="clear" w:color="auto" w:fill="BFBFBF" w:themeFill="background1" w:themeFillShade="BF"/>
            <w:vAlign w:val="center"/>
          </w:tcPr>
          <w:p w14:paraId="6D1A66FA"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Benchmark (1)</w:t>
            </w:r>
          </w:p>
        </w:tc>
      </w:tr>
      <w:tr w:rsidR="00B7432A" w:rsidRPr="00C707E7" w14:paraId="2E053B5A" w14:textId="77777777" w:rsidTr="009350EB">
        <w:tc>
          <w:tcPr>
            <w:tcW w:w="2878" w:type="dxa"/>
            <w:vAlign w:val="center"/>
          </w:tcPr>
          <w:p w14:paraId="36C81A62" w14:textId="77777777" w:rsidR="00B7432A" w:rsidRPr="00C707E7" w:rsidRDefault="00B7432A" w:rsidP="00D13231">
            <w:pPr>
              <w:spacing w:after="0" w:line="240" w:lineRule="auto"/>
              <w:contextualSpacing/>
              <w:rPr>
                <w:rFonts w:cstheme="minorHAnsi"/>
                <w:b/>
                <w:bCs/>
                <w:sz w:val="18"/>
                <w:szCs w:val="18"/>
              </w:rPr>
            </w:pPr>
            <w:r w:rsidRPr="00C707E7">
              <w:rPr>
                <w:rFonts w:cstheme="minorHAnsi"/>
                <w:b/>
                <w:bCs/>
                <w:color w:val="C00000"/>
                <w:sz w:val="18"/>
                <w:szCs w:val="18"/>
              </w:rPr>
              <w:t>Distinguish between various kinds of evidence by identifying reliable sources and valid arguments.</w:t>
            </w:r>
          </w:p>
          <w:p w14:paraId="35A90076" w14:textId="77777777" w:rsidR="00B7432A" w:rsidRPr="00C707E7" w:rsidRDefault="00B7432A" w:rsidP="00D13231">
            <w:pPr>
              <w:spacing w:after="0" w:line="240" w:lineRule="auto"/>
              <w:contextualSpacing/>
              <w:rPr>
                <w:rFonts w:cstheme="minorHAnsi"/>
                <w:b/>
                <w:bCs/>
                <w:sz w:val="18"/>
                <w:szCs w:val="18"/>
              </w:rPr>
            </w:pPr>
          </w:p>
        </w:tc>
        <w:tc>
          <w:tcPr>
            <w:tcW w:w="2878" w:type="dxa"/>
            <w:vAlign w:val="center"/>
          </w:tcPr>
          <w:p w14:paraId="2F83870F"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Information is taken from primary and/or secondary sources with enough interpretation/ evaluation to develop a comprehensive analysis.</w:t>
            </w:r>
          </w:p>
        </w:tc>
        <w:tc>
          <w:tcPr>
            <w:tcW w:w="2878" w:type="dxa"/>
            <w:vAlign w:val="center"/>
          </w:tcPr>
          <w:p w14:paraId="63E11C45"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Information is taken from primary and/or secondary sources with enough interpretation/ evaluation to develop a coherent analysis.</w:t>
            </w:r>
          </w:p>
        </w:tc>
        <w:tc>
          <w:tcPr>
            <w:tcW w:w="2878" w:type="dxa"/>
            <w:vAlign w:val="center"/>
          </w:tcPr>
          <w:p w14:paraId="4E066A64"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Information is taken from primary and/or secondary sources with some interpretation/ evaluation, but not enough to develop a coherent analysis.</w:t>
            </w:r>
          </w:p>
        </w:tc>
        <w:tc>
          <w:tcPr>
            <w:tcW w:w="2878" w:type="dxa"/>
            <w:vAlign w:val="center"/>
          </w:tcPr>
          <w:p w14:paraId="672C6AAC"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Information is taken from primary and/or secondary sources without any interpretation/ evaluation.</w:t>
            </w:r>
          </w:p>
        </w:tc>
      </w:tr>
      <w:tr w:rsidR="00B7432A" w:rsidRPr="00C707E7" w14:paraId="646885F0" w14:textId="77777777" w:rsidTr="009350EB">
        <w:tc>
          <w:tcPr>
            <w:tcW w:w="2878" w:type="dxa"/>
            <w:shd w:val="clear" w:color="auto" w:fill="BFBFBF" w:themeFill="background1" w:themeFillShade="BF"/>
            <w:vAlign w:val="center"/>
          </w:tcPr>
          <w:p w14:paraId="19C2B0A2" w14:textId="77777777" w:rsidR="00B7432A" w:rsidRPr="00C707E7" w:rsidRDefault="00B7432A" w:rsidP="00D13231">
            <w:pPr>
              <w:spacing w:after="0" w:line="240" w:lineRule="auto"/>
              <w:contextualSpacing/>
              <w:jc w:val="center"/>
              <w:rPr>
                <w:rFonts w:cstheme="minorHAnsi"/>
                <w:b/>
                <w:bCs/>
                <w:sz w:val="18"/>
                <w:szCs w:val="18"/>
              </w:rPr>
            </w:pPr>
            <w:r w:rsidRPr="00C707E7">
              <w:rPr>
                <w:rFonts w:cstheme="minorHAnsi"/>
                <w:b/>
                <w:bCs/>
                <w:sz w:val="18"/>
                <w:szCs w:val="18"/>
              </w:rPr>
              <w:t>E-AH CLO 3</w:t>
            </w:r>
          </w:p>
        </w:tc>
        <w:tc>
          <w:tcPr>
            <w:tcW w:w="2878" w:type="dxa"/>
            <w:shd w:val="clear" w:color="auto" w:fill="BFBFBF" w:themeFill="background1" w:themeFillShade="BF"/>
            <w:vAlign w:val="center"/>
          </w:tcPr>
          <w:p w14:paraId="5CFEEE86"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Capstone (4)</w:t>
            </w:r>
          </w:p>
        </w:tc>
        <w:tc>
          <w:tcPr>
            <w:tcW w:w="2878" w:type="dxa"/>
            <w:shd w:val="clear" w:color="auto" w:fill="BFBFBF" w:themeFill="background1" w:themeFillShade="BF"/>
            <w:vAlign w:val="center"/>
          </w:tcPr>
          <w:p w14:paraId="3B1162F2"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(3)</w:t>
            </w:r>
          </w:p>
        </w:tc>
        <w:tc>
          <w:tcPr>
            <w:tcW w:w="2878" w:type="dxa"/>
            <w:shd w:val="clear" w:color="auto" w:fill="BFBFBF" w:themeFill="background1" w:themeFillShade="BF"/>
            <w:vAlign w:val="center"/>
          </w:tcPr>
          <w:p w14:paraId="250DB6B5"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(2)</w:t>
            </w:r>
          </w:p>
        </w:tc>
        <w:tc>
          <w:tcPr>
            <w:tcW w:w="2878" w:type="dxa"/>
            <w:shd w:val="clear" w:color="auto" w:fill="BFBFBF" w:themeFill="background1" w:themeFillShade="BF"/>
            <w:vAlign w:val="center"/>
          </w:tcPr>
          <w:p w14:paraId="1A26FA99"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Benchmark (1)</w:t>
            </w:r>
          </w:p>
        </w:tc>
      </w:tr>
      <w:tr w:rsidR="00B7432A" w:rsidRPr="00C707E7" w14:paraId="23F73700" w14:textId="77777777" w:rsidTr="009350EB">
        <w:tc>
          <w:tcPr>
            <w:tcW w:w="2878" w:type="dxa"/>
            <w:vAlign w:val="center"/>
          </w:tcPr>
          <w:p w14:paraId="18E73789" w14:textId="77777777" w:rsidR="00B7432A" w:rsidRPr="00C707E7" w:rsidRDefault="00B7432A" w:rsidP="00D13231">
            <w:pPr>
              <w:spacing w:after="0" w:line="240" w:lineRule="auto"/>
              <w:contextualSpacing/>
              <w:rPr>
                <w:rFonts w:cstheme="minorHAnsi"/>
                <w:b/>
                <w:bCs/>
                <w:color w:val="C00000"/>
                <w:sz w:val="18"/>
                <w:szCs w:val="18"/>
              </w:rPr>
            </w:pPr>
            <w:r w:rsidRPr="00C707E7">
              <w:rPr>
                <w:rFonts w:cstheme="minorHAnsi"/>
                <w:b/>
                <w:bCs/>
                <w:color w:val="C00000"/>
                <w:sz w:val="18"/>
                <w:szCs w:val="18"/>
              </w:rPr>
              <w:t>Demonstrate how social, cultural, and historical contexts influence creative expression in the arts and humanities.</w:t>
            </w:r>
          </w:p>
          <w:p w14:paraId="794A3318" w14:textId="77777777" w:rsidR="00B7432A" w:rsidRPr="00C707E7" w:rsidRDefault="00B7432A" w:rsidP="00D13231">
            <w:pPr>
              <w:spacing w:after="0" w:line="240" w:lineRule="auto"/>
              <w:contextualSpacing/>
              <w:rPr>
                <w:rFonts w:cstheme="minorHAnsi"/>
                <w:b/>
                <w:bCs/>
                <w:sz w:val="18"/>
                <w:szCs w:val="18"/>
              </w:rPr>
            </w:pPr>
          </w:p>
        </w:tc>
        <w:tc>
          <w:tcPr>
            <w:tcW w:w="2878" w:type="dxa"/>
            <w:vAlign w:val="center"/>
          </w:tcPr>
          <w:p w14:paraId="2E9725FE"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 xml:space="preserve">Accurately and precisely locates </w:t>
            </w:r>
            <w:proofErr w:type="gramStart"/>
            <w:r w:rsidRPr="00C707E7">
              <w:rPr>
                <w:rFonts w:cstheme="minorHAnsi"/>
                <w:sz w:val="18"/>
                <w:szCs w:val="18"/>
              </w:rPr>
              <w:t>particular works</w:t>
            </w:r>
            <w:proofErr w:type="gramEnd"/>
            <w:r w:rsidRPr="00C707E7">
              <w:rPr>
                <w:rFonts w:cstheme="minorHAnsi"/>
                <w:sz w:val="18"/>
                <w:szCs w:val="18"/>
              </w:rPr>
              <w:t xml:space="preserve"> in relation to multiple relevant contexts and elaborates on the manner in which those contexts influence the works.</w:t>
            </w:r>
          </w:p>
        </w:tc>
        <w:tc>
          <w:tcPr>
            <w:tcW w:w="2878" w:type="dxa"/>
            <w:vAlign w:val="center"/>
          </w:tcPr>
          <w:p w14:paraId="779947EE"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 xml:space="preserve">Accurately locates </w:t>
            </w:r>
            <w:proofErr w:type="gramStart"/>
            <w:r w:rsidRPr="00C707E7">
              <w:rPr>
                <w:rFonts w:cstheme="minorHAnsi"/>
                <w:sz w:val="18"/>
                <w:szCs w:val="18"/>
              </w:rPr>
              <w:t>particular works</w:t>
            </w:r>
            <w:proofErr w:type="gramEnd"/>
            <w:r w:rsidRPr="00C707E7">
              <w:rPr>
                <w:rFonts w:cstheme="minorHAnsi"/>
                <w:sz w:val="18"/>
                <w:szCs w:val="18"/>
              </w:rPr>
              <w:t xml:space="preserve"> in relation to some relevant contexts and elaborates on the manner in which those contexts influence the works.</w:t>
            </w:r>
          </w:p>
        </w:tc>
        <w:tc>
          <w:tcPr>
            <w:tcW w:w="2878" w:type="dxa"/>
            <w:vAlign w:val="center"/>
          </w:tcPr>
          <w:p w14:paraId="4E695A50"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 xml:space="preserve">Approximately locates </w:t>
            </w:r>
            <w:proofErr w:type="gramStart"/>
            <w:r w:rsidRPr="00C707E7">
              <w:rPr>
                <w:rFonts w:cstheme="minorHAnsi"/>
                <w:sz w:val="18"/>
                <w:szCs w:val="18"/>
              </w:rPr>
              <w:t>particular works</w:t>
            </w:r>
            <w:proofErr w:type="gramEnd"/>
            <w:r w:rsidRPr="00C707E7">
              <w:rPr>
                <w:rFonts w:cstheme="minorHAnsi"/>
                <w:sz w:val="18"/>
                <w:szCs w:val="18"/>
              </w:rPr>
              <w:t xml:space="preserve"> in relation to some relevant contexts, though may have some inaccuracies.  Shows a general awareness of how the contexts influence the works.</w:t>
            </w:r>
          </w:p>
        </w:tc>
        <w:tc>
          <w:tcPr>
            <w:tcW w:w="2878" w:type="dxa"/>
            <w:vAlign w:val="center"/>
          </w:tcPr>
          <w:p w14:paraId="3ABA9BC9"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 xml:space="preserve">Fails to locate or inaccurately locates </w:t>
            </w:r>
            <w:proofErr w:type="gramStart"/>
            <w:r w:rsidRPr="00C707E7">
              <w:rPr>
                <w:rFonts w:cstheme="minorHAnsi"/>
                <w:sz w:val="18"/>
                <w:szCs w:val="18"/>
              </w:rPr>
              <w:t>particular works</w:t>
            </w:r>
            <w:proofErr w:type="gramEnd"/>
            <w:r w:rsidRPr="00C707E7">
              <w:rPr>
                <w:rFonts w:cstheme="minorHAnsi"/>
                <w:sz w:val="18"/>
                <w:szCs w:val="18"/>
              </w:rPr>
              <w:t xml:space="preserve"> in relation to multiple relevant contexts and shows no awareness of how those contexts influence the works.</w:t>
            </w:r>
          </w:p>
        </w:tc>
      </w:tr>
      <w:tr w:rsidR="00B7432A" w:rsidRPr="00C707E7" w14:paraId="116AE9FB" w14:textId="77777777" w:rsidTr="009350EB">
        <w:tc>
          <w:tcPr>
            <w:tcW w:w="2878" w:type="dxa"/>
            <w:shd w:val="clear" w:color="auto" w:fill="BFBFBF" w:themeFill="background1" w:themeFillShade="BF"/>
            <w:vAlign w:val="center"/>
          </w:tcPr>
          <w:p w14:paraId="5E05D1B1" w14:textId="77777777" w:rsidR="00B7432A" w:rsidRPr="00C707E7" w:rsidRDefault="00B7432A" w:rsidP="00D13231">
            <w:pPr>
              <w:spacing w:after="0" w:line="240" w:lineRule="auto"/>
              <w:contextualSpacing/>
              <w:jc w:val="center"/>
              <w:rPr>
                <w:rFonts w:cstheme="minorHAnsi"/>
                <w:b/>
                <w:bCs/>
                <w:sz w:val="18"/>
                <w:szCs w:val="18"/>
              </w:rPr>
            </w:pPr>
            <w:r w:rsidRPr="00C707E7">
              <w:rPr>
                <w:rFonts w:cstheme="minorHAnsi"/>
                <w:b/>
                <w:bCs/>
                <w:sz w:val="18"/>
                <w:szCs w:val="18"/>
              </w:rPr>
              <w:t>E-AH CLO 4</w:t>
            </w:r>
          </w:p>
        </w:tc>
        <w:tc>
          <w:tcPr>
            <w:tcW w:w="2878" w:type="dxa"/>
            <w:shd w:val="clear" w:color="auto" w:fill="BFBFBF" w:themeFill="background1" w:themeFillShade="BF"/>
            <w:vAlign w:val="center"/>
          </w:tcPr>
          <w:p w14:paraId="204A5336"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Capstone (4)</w:t>
            </w:r>
          </w:p>
        </w:tc>
        <w:tc>
          <w:tcPr>
            <w:tcW w:w="2878" w:type="dxa"/>
            <w:shd w:val="clear" w:color="auto" w:fill="BFBFBF" w:themeFill="background1" w:themeFillShade="BF"/>
            <w:vAlign w:val="center"/>
          </w:tcPr>
          <w:p w14:paraId="5E670546"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(3)</w:t>
            </w:r>
          </w:p>
        </w:tc>
        <w:tc>
          <w:tcPr>
            <w:tcW w:w="2878" w:type="dxa"/>
            <w:shd w:val="clear" w:color="auto" w:fill="BFBFBF" w:themeFill="background1" w:themeFillShade="BF"/>
            <w:vAlign w:val="center"/>
          </w:tcPr>
          <w:p w14:paraId="31423349"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(2)</w:t>
            </w:r>
          </w:p>
        </w:tc>
        <w:tc>
          <w:tcPr>
            <w:tcW w:w="2878" w:type="dxa"/>
            <w:shd w:val="clear" w:color="auto" w:fill="BFBFBF" w:themeFill="background1" w:themeFillShade="BF"/>
            <w:vAlign w:val="center"/>
          </w:tcPr>
          <w:p w14:paraId="53B63DBA"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Benchmark (1)</w:t>
            </w:r>
          </w:p>
        </w:tc>
      </w:tr>
      <w:tr w:rsidR="00B7432A" w:rsidRPr="00C707E7" w14:paraId="66426040" w14:textId="77777777" w:rsidTr="009350EB">
        <w:tc>
          <w:tcPr>
            <w:tcW w:w="2878" w:type="dxa"/>
            <w:vAlign w:val="center"/>
          </w:tcPr>
          <w:p w14:paraId="4D9EFAC1" w14:textId="77777777" w:rsidR="00B7432A" w:rsidRPr="00C707E7" w:rsidRDefault="00B7432A" w:rsidP="00D13231">
            <w:pPr>
              <w:spacing w:after="0" w:line="240" w:lineRule="auto"/>
              <w:contextualSpacing/>
              <w:rPr>
                <w:rFonts w:cstheme="minorHAnsi"/>
                <w:b/>
                <w:bCs/>
                <w:color w:val="C00000"/>
                <w:sz w:val="18"/>
                <w:szCs w:val="18"/>
              </w:rPr>
            </w:pPr>
            <w:r w:rsidRPr="00C707E7">
              <w:rPr>
                <w:rFonts w:cstheme="minorHAnsi"/>
                <w:b/>
                <w:bCs/>
                <w:color w:val="C00000"/>
                <w:sz w:val="18"/>
                <w:szCs w:val="18"/>
              </w:rPr>
              <w:t>Evaluate the significance of human expression and experience in shaping larger social, cultural, and historical contexts.</w:t>
            </w:r>
          </w:p>
          <w:p w14:paraId="67069D45" w14:textId="77777777" w:rsidR="00B7432A" w:rsidRPr="00C707E7" w:rsidRDefault="00B7432A" w:rsidP="00D13231">
            <w:pPr>
              <w:spacing w:after="0" w:line="240" w:lineRule="auto"/>
              <w:contextualSpacing/>
              <w:rPr>
                <w:rFonts w:cstheme="minorHAnsi"/>
                <w:b/>
                <w:bCs/>
                <w:sz w:val="18"/>
                <w:szCs w:val="18"/>
              </w:rPr>
            </w:pPr>
          </w:p>
        </w:tc>
        <w:tc>
          <w:tcPr>
            <w:tcW w:w="2878" w:type="dxa"/>
            <w:vAlign w:val="center"/>
          </w:tcPr>
          <w:p w14:paraId="03CC5422"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Independently adapts and applies skills, abilities, theories, or methodologies gained to address solutions to problems/explore issues of personal or public importance in original ways.</w:t>
            </w:r>
          </w:p>
        </w:tc>
        <w:tc>
          <w:tcPr>
            <w:tcW w:w="2878" w:type="dxa"/>
            <w:vAlign w:val="center"/>
          </w:tcPr>
          <w:p w14:paraId="50C45DB0"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Adapts and applies skills, abilities, theories, or methodologies gained to address solutions to problems/explore issues of personal or public importance.</w:t>
            </w:r>
          </w:p>
        </w:tc>
        <w:tc>
          <w:tcPr>
            <w:tcW w:w="2878" w:type="dxa"/>
            <w:vAlign w:val="center"/>
          </w:tcPr>
          <w:p w14:paraId="184B11C4"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Uses skills, abilities, theories, or methodologies gained to contribute to understanding of problems/issues of personal or public importance.</w:t>
            </w:r>
          </w:p>
        </w:tc>
        <w:tc>
          <w:tcPr>
            <w:tcW w:w="2878" w:type="dxa"/>
            <w:vAlign w:val="center"/>
          </w:tcPr>
          <w:p w14:paraId="12F5441A"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Uses skills, abilities, theories, or methodologies gained in a basic way in consideration of problems/issues of personal or public importance.</w:t>
            </w:r>
          </w:p>
        </w:tc>
      </w:tr>
      <w:tr w:rsidR="00B7432A" w:rsidRPr="00C707E7" w14:paraId="1854D304" w14:textId="77777777" w:rsidTr="009350EB">
        <w:tc>
          <w:tcPr>
            <w:tcW w:w="2878" w:type="dxa"/>
            <w:shd w:val="clear" w:color="auto" w:fill="BFBFBF" w:themeFill="background1" w:themeFillShade="BF"/>
            <w:vAlign w:val="center"/>
          </w:tcPr>
          <w:p w14:paraId="1B736A0B" w14:textId="77777777" w:rsidR="00B7432A" w:rsidRPr="00C707E7" w:rsidRDefault="00B7432A" w:rsidP="00D13231">
            <w:pPr>
              <w:spacing w:after="0" w:line="240" w:lineRule="auto"/>
              <w:contextualSpacing/>
              <w:jc w:val="center"/>
              <w:rPr>
                <w:rFonts w:cstheme="minorHAnsi"/>
                <w:b/>
                <w:bCs/>
                <w:sz w:val="18"/>
                <w:szCs w:val="18"/>
              </w:rPr>
            </w:pPr>
            <w:r w:rsidRPr="00C707E7">
              <w:rPr>
                <w:rFonts w:cstheme="minorHAnsi"/>
                <w:b/>
                <w:bCs/>
                <w:sz w:val="18"/>
                <w:szCs w:val="18"/>
              </w:rPr>
              <w:t>E-AH CLO 5</w:t>
            </w:r>
          </w:p>
        </w:tc>
        <w:tc>
          <w:tcPr>
            <w:tcW w:w="2878" w:type="dxa"/>
            <w:shd w:val="clear" w:color="auto" w:fill="BFBFBF" w:themeFill="background1" w:themeFillShade="BF"/>
            <w:vAlign w:val="center"/>
          </w:tcPr>
          <w:p w14:paraId="35B7E5F6"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Capstone (4)</w:t>
            </w:r>
          </w:p>
        </w:tc>
        <w:tc>
          <w:tcPr>
            <w:tcW w:w="2878" w:type="dxa"/>
            <w:shd w:val="clear" w:color="auto" w:fill="BFBFBF" w:themeFill="background1" w:themeFillShade="BF"/>
            <w:vAlign w:val="center"/>
          </w:tcPr>
          <w:p w14:paraId="6AFDF085"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(3)</w:t>
            </w:r>
          </w:p>
        </w:tc>
        <w:tc>
          <w:tcPr>
            <w:tcW w:w="2878" w:type="dxa"/>
            <w:shd w:val="clear" w:color="auto" w:fill="BFBFBF" w:themeFill="background1" w:themeFillShade="BF"/>
            <w:vAlign w:val="center"/>
          </w:tcPr>
          <w:p w14:paraId="2B011C92"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Milestone (2)</w:t>
            </w:r>
          </w:p>
        </w:tc>
        <w:tc>
          <w:tcPr>
            <w:tcW w:w="2878" w:type="dxa"/>
            <w:shd w:val="clear" w:color="auto" w:fill="BFBFBF" w:themeFill="background1" w:themeFillShade="BF"/>
            <w:vAlign w:val="center"/>
          </w:tcPr>
          <w:p w14:paraId="64B1E96C" w14:textId="77777777" w:rsidR="00B7432A" w:rsidRPr="00C707E7" w:rsidRDefault="00B7432A" w:rsidP="00D13231">
            <w:pPr>
              <w:spacing w:after="0" w:line="240" w:lineRule="auto"/>
              <w:contextualSpacing/>
              <w:jc w:val="center"/>
              <w:rPr>
                <w:rFonts w:cstheme="minorHAnsi"/>
                <w:b/>
                <w:sz w:val="18"/>
                <w:szCs w:val="18"/>
              </w:rPr>
            </w:pPr>
            <w:r w:rsidRPr="00C707E7">
              <w:rPr>
                <w:rFonts w:cstheme="minorHAnsi"/>
                <w:b/>
                <w:sz w:val="18"/>
                <w:szCs w:val="18"/>
              </w:rPr>
              <w:t>Benchmark (1)</w:t>
            </w:r>
          </w:p>
        </w:tc>
      </w:tr>
      <w:tr w:rsidR="00B7432A" w:rsidRPr="00C707E7" w14:paraId="1C4A550F" w14:textId="77777777" w:rsidTr="009350EB">
        <w:tc>
          <w:tcPr>
            <w:tcW w:w="2878" w:type="dxa"/>
            <w:vAlign w:val="center"/>
          </w:tcPr>
          <w:p w14:paraId="093000D2" w14:textId="77777777" w:rsidR="00B7432A" w:rsidRPr="00C707E7" w:rsidRDefault="00B7432A" w:rsidP="00D13231">
            <w:pPr>
              <w:spacing w:after="0" w:line="240" w:lineRule="auto"/>
              <w:contextualSpacing/>
              <w:rPr>
                <w:rFonts w:cstheme="minorHAnsi"/>
                <w:b/>
                <w:bCs/>
                <w:color w:val="C00000"/>
                <w:sz w:val="18"/>
                <w:szCs w:val="18"/>
              </w:rPr>
            </w:pPr>
            <w:r w:rsidRPr="00C707E7">
              <w:rPr>
                <w:rFonts w:cstheme="minorHAnsi"/>
                <w:b/>
                <w:bCs/>
                <w:color w:val="C00000"/>
                <w:sz w:val="18"/>
                <w:szCs w:val="18"/>
              </w:rPr>
              <w:t>Evaluate enduring and contemporary issues of human experience.</w:t>
            </w:r>
          </w:p>
          <w:p w14:paraId="119C2CE4" w14:textId="77777777" w:rsidR="00B7432A" w:rsidRPr="00C707E7" w:rsidRDefault="00B7432A" w:rsidP="00D13231">
            <w:pPr>
              <w:spacing w:after="0" w:line="240" w:lineRule="auto"/>
              <w:contextualSpacing/>
              <w:rPr>
                <w:rFonts w:cstheme="minorHAnsi"/>
                <w:b/>
                <w:bCs/>
                <w:sz w:val="18"/>
                <w:szCs w:val="18"/>
              </w:rPr>
            </w:pPr>
          </w:p>
        </w:tc>
        <w:tc>
          <w:tcPr>
            <w:tcW w:w="2878" w:type="dxa"/>
            <w:vAlign w:val="center"/>
          </w:tcPr>
          <w:p w14:paraId="2F72EDF0"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Articulates a broad understanding of the relationship between works and the enduring and contemporary issues of human experience (e.g., love, faith, individual identity, good and evil, sacrifice).  Makes multiple connections between these elements.</w:t>
            </w:r>
          </w:p>
        </w:tc>
        <w:tc>
          <w:tcPr>
            <w:tcW w:w="2878" w:type="dxa"/>
            <w:vAlign w:val="center"/>
          </w:tcPr>
          <w:p w14:paraId="671ED21F"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Describes several impacts that works may have upon enduring and contemporary issues of human experience (e.g., love, faith, individual identity, good and evil, sacrifice).  Outlines inter-connectedness between numerous aspects of works and culture.</w:t>
            </w:r>
          </w:p>
        </w:tc>
        <w:tc>
          <w:tcPr>
            <w:tcW w:w="2878" w:type="dxa"/>
            <w:vAlign w:val="center"/>
          </w:tcPr>
          <w:p w14:paraId="246FE979"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 xml:space="preserve">Describes a few impacts that works may have upon enduring and contemporary issues of human experience (e.g., love, faith, individual identity, good and evil, sacrifice).  </w:t>
            </w:r>
          </w:p>
        </w:tc>
        <w:tc>
          <w:tcPr>
            <w:tcW w:w="2878" w:type="dxa"/>
            <w:vAlign w:val="center"/>
          </w:tcPr>
          <w:p w14:paraId="745C843F" w14:textId="77777777" w:rsidR="00B7432A" w:rsidRPr="00C707E7" w:rsidRDefault="00B7432A" w:rsidP="00D13231">
            <w:pPr>
              <w:spacing w:after="0" w:line="240" w:lineRule="auto"/>
              <w:contextualSpacing/>
              <w:rPr>
                <w:rFonts w:cstheme="minorHAnsi"/>
                <w:sz w:val="18"/>
                <w:szCs w:val="18"/>
              </w:rPr>
            </w:pPr>
            <w:r w:rsidRPr="00C707E7">
              <w:rPr>
                <w:rFonts w:cstheme="minorHAnsi"/>
                <w:sz w:val="18"/>
                <w:szCs w:val="18"/>
              </w:rPr>
              <w:t xml:space="preserve">Describes a basic impact, or fails to identify and impact, that works may have upon enduring and contemporary issues of human experience (e.g., love, faith, individual identity, good and evil, sacrifice).  </w:t>
            </w:r>
          </w:p>
        </w:tc>
      </w:tr>
    </w:tbl>
    <w:p w14:paraId="6AADD0C7" w14:textId="77777777" w:rsidR="00B7432A" w:rsidRPr="00C707E7" w:rsidRDefault="00B7432A" w:rsidP="00D13231">
      <w:pPr>
        <w:spacing w:after="0" w:line="240" w:lineRule="auto"/>
        <w:contextualSpacing/>
        <w:rPr>
          <w:rFonts w:cstheme="minorHAnsi"/>
          <w:i/>
          <w:iCs/>
          <w:sz w:val="18"/>
          <w:szCs w:val="18"/>
        </w:rPr>
      </w:pPr>
      <w:r w:rsidRPr="00C707E7">
        <w:rPr>
          <w:rFonts w:cstheme="minorHAnsi"/>
          <w:i/>
          <w:iCs/>
          <w:sz w:val="18"/>
          <w:szCs w:val="18"/>
        </w:rPr>
        <w:t>Evaluators are encouraged to assign a zero to any work that does not meet the benchmark-level performance.</w:t>
      </w:r>
    </w:p>
    <w:p w14:paraId="6AED2AEC" w14:textId="77777777" w:rsidR="00A04F35" w:rsidRDefault="00A04F35" w:rsidP="00D13231">
      <w:pPr>
        <w:spacing w:after="0" w:line="240" w:lineRule="auto"/>
      </w:pPr>
    </w:p>
    <w:sectPr w:rsidR="00A04F35" w:rsidSect="00B7432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2A"/>
    <w:rsid w:val="00A04F35"/>
    <w:rsid w:val="00B7432A"/>
    <w:rsid w:val="00D1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737E9"/>
  <w15:chartTrackingRefBased/>
  <w15:docId w15:val="{7E27B650-4E24-AC4A-B5DB-66A72D93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2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43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Forsythe, Stacey</dc:creator>
  <cp:keywords/>
  <dc:description/>
  <cp:lastModifiedBy>Forsythe, Stacey</cp:lastModifiedBy>
  <cp:revision>2</cp:revision>
  <dcterms:created xsi:type="dcterms:W3CDTF">2022-12-08T18:59:00Z</dcterms:created>
  <dcterms:modified xsi:type="dcterms:W3CDTF">2022-12-08T19:08:00Z</dcterms:modified>
</cp:coreProperties>
</file>