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AA0DA6" w14:paraId="62B2B48D" w14:textId="77777777" w:rsidTr="00FF131C">
        <w:trPr>
          <w:trHeight w:val="239"/>
        </w:trPr>
        <w:tc>
          <w:tcPr>
            <w:tcW w:w="6108" w:type="dxa"/>
            <w:gridSpan w:val="2"/>
          </w:tcPr>
          <w:p w14:paraId="506B9AE1" w14:textId="790CEF90"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12925F1"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AA0DA6" w14:paraId="3FB6829E" w14:textId="77777777" w:rsidTr="00FF131C">
        <w:trPr>
          <w:trHeight w:val="222"/>
        </w:trPr>
        <w:tc>
          <w:tcPr>
            <w:tcW w:w="14383" w:type="dxa"/>
            <w:gridSpan w:val="3"/>
          </w:tcPr>
          <w:p w14:paraId="7CC57F6D" w14:textId="4506A72B"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w:t>
            </w:r>
            <w:r w:rsidR="00936D04">
              <w:rPr>
                <w:rFonts w:ascii="Times New Roman" w:hAnsi="Times New Roman"/>
                <w:bCs/>
                <w:i/>
                <w:iCs/>
                <w:sz w:val="20"/>
                <w:szCs w:val="20"/>
              </w:rPr>
              <w:t>617</w:t>
            </w:r>
            <w:r>
              <w:rPr>
                <w:rFonts w:ascii="Times New Roman" w:hAnsi="Times New Roman"/>
                <w:bCs/>
                <w:i/>
                <w:iCs/>
                <w:sz w:val="20"/>
                <w:szCs w:val="20"/>
              </w:rPr>
              <w:t>)</w:t>
            </w:r>
          </w:p>
        </w:tc>
      </w:tr>
      <w:tr w:rsidR="00AA0DA6" w14:paraId="56A671A4" w14:textId="77777777" w:rsidTr="00FF131C">
        <w:trPr>
          <w:trHeight w:val="222"/>
        </w:trPr>
        <w:tc>
          <w:tcPr>
            <w:tcW w:w="14383" w:type="dxa"/>
            <w:gridSpan w:val="3"/>
          </w:tcPr>
          <w:p w14:paraId="6AD05DAC" w14:textId="7A205418"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Smith, Program Coordinator; Kerrie McDaniel, Doug McElroy, Assessment Coordinators</w:t>
            </w:r>
          </w:p>
        </w:tc>
      </w:tr>
      <w:tr w:rsidR="00FF131C" w14:paraId="53FAE6BE" w14:textId="77777777" w:rsidTr="005B3461">
        <w:trPr>
          <w:trHeight w:val="584"/>
        </w:trPr>
        <w:tc>
          <w:tcPr>
            <w:tcW w:w="4045" w:type="dxa"/>
          </w:tcPr>
          <w:p w14:paraId="611250FD" w14:textId="79249D2D"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25E98">
              <w:rPr>
                <w:rFonts w:ascii="Times New Roman" w:hAnsi="Times New Roman"/>
                <w:sz w:val="22"/>
                <w:szCs w:val="22"/>
              </w:rPr>
            </w:r>
            <w:r w:rsidR="00825E9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AA0DA6">
              <w:rPr>
                <w:rFonts w:ascii="Times New Roman" w:hAnsi="Times New Roman"/>
                <w:sz w:val="22"/>
                <w:szCs w:val="22"/>
              </w:rPr>
              <w:fldChar w:fldCharType="begin">
                <w:ffData>
                  <w:name w:val="Check14"/>
                  <w:enabled/>
                  <w:calcOnExit w:val="0"/>
                  <w:checkBox>
                    <w:sizeAuto/>
                    <w:default w:val="1"/>
                  </w:checkBox>
                </w:ffData>
              </w:fldChar>
            </w:r>
            <w:bookmarkStart w:id="1" w:name="Check14"/>
            <w:r w:rsidR="00AA0DA6">
              <w:rPr>
                <w:rFonts w:ascii="Times New Roman" w:hAnsi="Times New Roman"/>
                <w:sz w:val="22"/>
                <w:szCs w:val="22"/>
              </w:rPr>
              <w:instrText xml:space="preserve"> FORMCHECKBOX </w:instrText>
            </w:r>
            <w:r w:rsidR="00825E98">
              <w:rPr>
                <w:rFonts w:ascii="Times New Roman" w:hAnsi="Times New Roman"/>
                <w:sz w:val="22"/>
                <w:szCs w:val="22"/>
              </w:rPr>
            </w:r>
            <w:r w:rsidR="00825E98">
              <w:rPr>
                <w:rFonts w:ascii="Times New Roman" w:hAnsi="Times New Roman"/>
                <w:sz w:val="22"/>
                <w:szCs w:val="22"/>
              </w:rPr>
              <w:fldChar w:fldCharType="separate"/>
            </w:r>
            <w:r w:rsidR="00AA0DA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B8D750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AA0DA6">
              <w:rPr>
                <w:rFonts w:ascii="Times New Roman" w:hAnsi="Times New Roman"/>
                <w:sz w:val="22"/>
                <w:szCs w:val="22"/>
              </w:rPr>
              <w:fldChar w:fldCharType="begin">
                <w:ffData>
                  <w:name w:val=""/>
                  <w:enabled/>
                  <w:calcOnExit w:val="0"/>
                  <w:checkBox>
                    <w:sizeAuto/>
                    <w:default w:val="1"/>
                  </w:checkBox>
                </w:ffData>
              </w:fldChar>
            </w:r>
            <w:r w:rsidR="00AA0DA6">
              <w:rPr>
                <w:rFonts w:ascii="Times New Roman" w:hAnsi="Times New Roman"/>
                <w:sz w:val="22"/>
                <w:szCs w:val="22"/>
              </w:rPr>
              <w:instrText xml:space="preserve"> FORMCHECKBOX </w:instrText>
            </w:r>
            <w:r w:rsidR="00825E98">
              <w:rPr>
                <w:rFonts w:ascii="Times New Roman" w:hAnsi="Times New Roman"/>
                <w:sz w:val="22"/>
                <w:szCs w:val="22"/>
              </w:rPr>
            </w:r>
            <w:r w:rsidR="00825E98">
              <w:rPr>
                <w:rFonts w:ascii="Times New Roman" w:hAnsi="Times New Roman"/>
                <w:sz w:val="22"/>
                <w:szCs w:val="22"/>
              </w:rPr>
              <w:fldChar w:fldCharType="separate"/>
            </w:r>
            <w:r w:rsidR="00AA0DA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553409F"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A0DA6"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0CB3F4F" w:rsidR="007706BE" w:rsidRPr="00AA0DA6" w:rsidRDefault="00AA0DA6" w:rsidP="00AA0DA6">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825E98">
              <w:rPr>
                <w:rFonts w:ascii="Times New Roman" w:hAnsi="Times New Roman"/>
                <w:b/>
                <w:sz w:val="20"/>
                <w:szCs w:val="20"/>
              </w:rPr>
            </w:r>
            <w:r w:rsidR="00825E98">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132E74F7" w:rsidR="007706BE" w:rsidRPr="00FF3DCE" w:rsidRDefault="00AA0DA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825E98">
              <w:rPr>
                <w:rFonts w:ascii="Times New Roman" w:hAnsi="Times New Roman"/>
                <w:b/>
                <w:sz w:val="20"/>
                <w:szCs w:val="20"/>
              </w:rPr>
            </w:r>
            <w:r w:rsidR="00825E98">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4EFE7F8"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A0DA6" w:rsidRPr="00DE7270">
              <w:rPr>
                <w:rFonts w:ascii="Times New Roman" w:hAnsi="Times New Roman"/>
                <w:sz w:val="20"/>
                <w:szCs w:val="20"/>
              </w:rPr>
              <w:t xml:space="preserve"> Graduates will demonstrate an understanding of research ethics and the responsible conduct of research.</w:t>
            </w:r>
          </w:p>
        </w:tc>
      </w:tr>
      <w:tr w:rsidR="00AA0DA6" w:rsidRPr="00964DD0" w14:paraId="018E91BF" w14:textId="77777777" w:rsidTr="00AA0DA6">
        <w:tc>
          <w:tcPr>
            <w:tcW w:w="1435" w:type="dxa"/>
            <w:shd w:val="clear" w:color="auto" w:fill="auto"/>
            <w:tcMar>
              <w:top w:w="100" w:type="nil"/>
              <w:right w:w="100" w:type="nil"/>
            </w:tcMar>
          </w:tcPr>
          <w:p w14:paraId="1C3833F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15DAE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AA0DA6" w:rsidRPr="00964DD0" w14:paraId="5F8807A0" w14:textId="77777777" w:rsidTr="007706BE">
        <w:tc>
          <w:tcPr>
            <w:tcW w:w="11875" w:type="dxa"/>
            <w:gridSpan w:val="2"/>
            <w:shd w:val="clear" w:color="auto" w:fill="auto"/>
            <w:tcMar>
              <w:top w:w="100" w:type="nil"/>
              <w:right w:w="100" w:type="nil"/>
            </w:tcMar>
          </w:tcPr>
          <w:p w14:paraId="72CF8286" w14:textId="0688557B"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AA0DA6" w:rsidRPr="00FF3DCE" w:rsidRDefault="00AA0DA6" w:rsidP="00AA0DA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5E289FC"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25E98">
              <w:rPr>
                <w:rFonts w:ascii="Times New Roman" w:hAnsi="Times New Roman"/>
                <w:b/>
                <w:sz w:val="20"/>
                <w:szCs w:val="20"/>
              </w:rPr>
            </w:r>
            <w:r w:rsidR="00825E9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25E98">
              <w:rPr>
                <w:rFonts w:ascii="Times New Roman" w:hAnsi="Times New Roman"/>
                <w:b/>
                <w:sz w:val="20"/>
                <w:szCs w:val="20"/>
              </w:rPr>
            </w:r>
            <w:r w:rsidR="00825E9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A0DA6" w:rsidRPr="00964DD0" w14:paraId="67B84758" w14:textId="77777777" w:rsidTr="00841B21">
        <w:tc>
          <w:tcPr>
            <w:tcW w:w="14395" w:type="dxa"/>
            <w:gridSpan w:val="4"/>
            <w:shd w:val="clear" w:color="auto" w:fill="auto"/>
            <w:tcMar>
              <w:top w:w="100" w:type="nil"/>
              <w:right w:w="100" w:type="nil"/>
            </w:tcMar>
          </w:tcPr>
          <w:p w14:paraId="34421F51" w14:textId="0F434D54"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AA0DA6" w:rsidRPr="00964DD0" w14:paraId="310AA017" w14:textId="77777777" w:rsidTr="00AA0DA6">
        <w:tc>
          <w:tcPr>
            <w:tcW w:w="1435" w:type="dxa"/>
            <w:shd w:val="clear" w:color="auto" w:fill="auto"/>
            <w:tcMar>
              <w:top w:w="100" w:type="nil"/>
              <w:right w:w="100" w:type="nil"/>
            </w:tcMar>
          </w:tcPr>
          <w:p w14:paraId="483DCE3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B69A6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AA0DA6" w:rsidRPr="00964DD0" w14:paraId="2CD12D7C" w14:textId="77777777" w:rsidTr="009A663B">
        <w:tc>
          <w:tcPr>
            <w:tcW w:w="11875" w:type="dxa"/>
            <w:gridSpan w:val="2"/>
            <w:shd w:val="clear" w:color="auto" w:fill="auto"/>
            <w:tcMar>
              <w:top w:w="100" w:type="nil"/>
              <w:right w:w="100" w:type="nil"/>
            </w:tcMar>
          </w:tcPr>
          <w:p w14:paraId="1737E22A" w14:textId="0ED276B0"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825E98">
              <w:rPr>
                <w:rFonts w:ascii="Times New Roman" w:hAnsi="Times New Roman"/>
                <w:b/>
                <w:sz w:val="20"/>
                <w:szCs w:val="20"/>
              </w:rPr>
            </w:r>
            <w:r w:rsidR="00825E9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10E5A84"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825E98">
              <w:rPr>
                <w:rFonts w:ascii="Times New Roman" w:hAnsi="Times New Roman"/>
                <w:b/>
                <w:sz w:val="20"/>
                <w:szCs w:val="20"/>
              </w:rPr>
            </w:r>
            <w:r w:rsidR="00825E9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AA0DA6" w:rsidRPr="00964DD0" w14:paraId="5B196B4E" w14:textId="77777777" w:rsidTr="007706BE">
        <w:tc>
          <w:tcPr>
            <w:tcW w:w="14395" w:type="dxa"/>
            <w:gridSpan w:val="4"/>
            <w:shd w:val="clear" w:color="auto" w:fill="auto"/>
            <w:tcMar>
              <w:top w:w="100" w:type="nil"/>
              <w:right w:w="100" w:type="nil"/>
            </w:tcMar>
          </w:tcPr>
          <w:p w14:paraId="72344A75" w14:textId="47B5A959"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AA0DA6" w:rsidRPr="00964DD0" w14:paraId="3FD47350" w14:textId="77777777" w:rsidTr="007706BE">
        <w:tc>
          <w:tcPr>
            <w:tcW w:w="14395" w:type="dxa"/>
            <w:gridSpan w:val="4"/>
            <w:shd w:val="clear" w:color="auto" w:fill="auto"/>
            <w:tcMar>
              <w:top w:w="100" w:type="nil"/>
              <w:right w:w="100" w:type="nil"/>
            </w:tcMar>
          </w:tcPr>
          <w:p w14:paraId="6D8BE7FB" w14:textId="77777777" w:rsidR="00AA0DA6" w:rsidRDefault="00AA0DA6" w:rsidP="00AA0DA6">
            <w:pPr>
              <w:jc w:val="both"/>
              <w:rPr>
                <w:rFonts w:ascii="Times New Roman" w:hAnsi="Times New Roman"/>
                <w:sz w:val="20"/>
                <w:szCs w:val="20"/>
              </w:rPr>
            </w:pPr>
            <w:r w:rsidRPr="00925C19">
              <w:rPr>
                <w:rFonts w:ascii="Times New Roman" w:hAnsi="Times New Roman"/>
                <w:sz w:val="20"/>
                <w:szCs w:val="20"/>
              </w:rPr>
              <w:t>During 202</w:t>
            </w:r>
            <w:r>
              <w:rPr>
                <w:rFonts w:ascii="Times New Roman" w:hAnsi="Times New Roman"/>
                <w:sz w:val="20"/>
                <w:szCs w:val="20"/>
              </w:rPr>
              <w:t>3</w:t>
            </w:r>
            <w:r w:rsidRPr="00925C19">
              <w:rPr>
                <w:rFonts w:ascii="Times New Roman" w:hAnsi="Times New Roman"/>
                <w:sz w:val="20"/>
                <w:szCs w:val="20"/>
              </w:rPr>
              <w:t>-2</w:t>
            </w:r>
            <w:r>
              <w:rPr>
                <w:rFonts w:ascii="Times New Roman" w:hAnsi="Times New Roman"/>
                <w:sz w:val="20"/>
                <w:szCs w:val="20"/>
              </w:rPr>
              <w:t xml:space="preserve">4 and consistent with </w:t>
            </w:r>
            <w:proofErr w:type="spellStart"/>
            <w:proofErr w:type="gramStart"/>
            <w:r>
              <w:rPr>
                <w:rFonts w:ascii="Times New Roman" w:hAnsi="Times New Roman"/>
                <w:sz w:val="20"/>
                <w:szCs w:val="20"/>
              </w:rPr>
              <w:t>it’s</w:t>
            </w:r>
            <w:proofErr w:type="spellEnd"/>
            <w:proofErr w:type="gramEnd"/>
            <w:r>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w:t>
            </w:r>
            <w:r w:rsidRPr="00925C19">
              <w:rPr>
                <w:rFonts w:ascii="Times New Roman" w:hAnsi="Times New Roman"/>
                <w:sz w:val="20"/>
                <w:szCs w:val="20"/>
              </w:rPr>
              <w:t>(1) assess</w:t>
            </w:r>
            <w:r>
              <w:rPr>
                <w:rFonts w:ascii="Times New Roman" w:hAnsi="Times New Roman"/>
                <w:sz w:val="20"/>
                <w:szCs w:val="20"/>
              </w:rPr>
              <w:t>ed</w:t>
            </w:r>
            <w:r w:rsidRPr="00925C19">
              <w:rPr>
                <w:rFonts w:ascii="Times New Roman" w:hAnsi="Times New Roman"/>
                <w:sz w:val="20"/>
                <w:szCs w:val="20"/>
              </w:rPr>
              <w:t xml:space="preserve"> 202</w:t>
            </w:r>
            <w:r>
              <w:rPr>
                <w:rFonts w:ascii="Times New Roman" w:hAnsi="Times New Roman"/>
                <w:sz w:val="20"/>
                <w:szCs w:val="20"/>
              </w:rPr>
              <w:t>2</w:t>
            </w:r>
            <w:r w:rsidRPr="00925C19">
              <w:rPr>
                <w:rFonts w:ascii="Times New Roman" w:hAnsi="Times New Roman"/>
                <w:sz w:val="20"/>
                <w:szCs w:val="20"/>
              </w:rPr>
              <w:t>-2</w:t>
            </w:r>
            <w:r>
              <w:rPr>
                <w:rFonts w:ascii="Times New Roman" w:hAnsi="Times New Roman"/>
                <w:sz w:val="20"/>
                <w:szCs w:val="20"/>
              </w:rPr>
              <w:t>3</w:t>
            </w:r>
            <w:r w:rsidRPr="00925C19">
              <w:rPr>
                <w:rFonts w:ascii="Times New Roman" w:hAnsi="Times New Roman"/>
                <w:sz w:val="20"/>
                <w:szCs w:val="20"/>
              </w:rPr>
              <w:t xml:space="preserve"> artifacts for all SLOs and analyze</w:t>
            </w:r>
            <w:r>
              <w:rPr>
                <w:rFonts w:ascii="Times New Roman" w:hAnsi="Times New Roman"/>
                <w:sz w:val="20"/>
                <w:szCs w:val="20"/>
              </w:rPr>
              <w:t>d</w:t>
            </w:r>
            <w:r w:rsidRPr="00925C19">
              <w:rPr>
                <w:rFonts w:ascii="Times New Roman" w:hAnsi="Times New Roman"/>
                <w:sz w:val="20"/>
                <w:szCs w:val="20"/>
              </w:rPr>
              <w:t xml:space="preserve"> results from those assessments; </w:t>
            </w:r>
            <w:r>
              <w:rPr>
                <w:rFonts w:ascii="Times New Roman" w:hAnsi="Times New Roman"/>
                <w:sz w:val="20"/>
                <w:szCs w:val="20"/>
              </w:rPr>
              <w:t xml:space="preserve">and </w:t>
            </w:r>
            <w:r w:rsidRPr="00925C19">
              <w:rPr>
                <w:rFonts w:ascii="Times New Roman" w:hAnsi="Times New Roman"/>
                <w:sz w:val="20"/>
                <w:szCs w:val="20"/>
              </w:rPr>
              <w:t>(2) develop</w:t>
            </w:r>
            <w:r>
              <w:rPr>
                <w:rFonts w:ascii="Times New Roman" w:hAnsi="Times New Roman"/>
                <w:sz w:val="20"/>
                <w:szCs w:val="20"/>
              </w:rPr>
              <w:t>ed</w:t>
            </w:r>
            <w:r w:rsidRPr="00925C19">
              <w:rPr>
                <w:rFonts w:ascii="Times New Roman" w:hAnsi="Times New Roman"/>
                <w:sz w:val="20"/>
                <w:szCs w:val="20"/>
              </w:rPr>
              <w:t xml:space="preserve"> and approve</w:t>
            </w:r>
            <w:r>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Pr>
                <w:rFonts w:ascii="Times New Roman" w:hAnsi="Times New Roman"/>
                <w:sz w:val="20"/>
                <w:szCs w:val="20"/>
              </w:rPr>
              <w:t>. These follow-up actions will be undertaken during the 2024-25 academic year, and be fully implemented by Fall 2025.</w:t>
            </w:r>
          </w:p>
          <w:p w14:paraId="0BB52837" w14:textId="3169AA48" w:rsidR="00AA0DA6" w:rsidRPr="00FF3DCE" w:rsidRDefault="00AA0DA6" w:rsidP="00AA0DA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825E98">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825E9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825E98">
            <w:pPr>
              <w:widowControl w:val="0"/>
              <w:autoSpaceDE w:val="0"/>
              <w:autoSpaceDN w:val="0"/>
              <w:adjustRightInd w:val="0"/>
              <w:jc w:val="center"/>
              <w:rPr>
                <w:rFonts w:ascii="Times New Roman" w:hAnsi="Times New Roman"/>
                <w:b/>
                <w:bCs/>
              </w:rPr>
            </w:pPr>
          </w:p>
        </w:tc>
      </w:tr>
      <w:tr w:rsidR="00AA0DA6" w:rsidRPr="00964DD0" w14:paraId="655B58B1" w14:textId="77777777" w:rsidTr="00825E98">
        <w:trPr>
          <w:trHeight w:val="20"/>
        </w:trPr>
        <w:tc>
          <w:tcPr>
            <w:tcW w:w="2875" w:type="dxa"/>
            <w:tcBorders>
              <w:bottom w:val="single" w:sz="4" w:space="0" w:color="auto"/>
            </w:tcBorders>
            <w:shd w:val="pct5" w:color="auto" w:fill="auto"/>
            <w:tcMar>
              <w:top w:w="100" w:type="nil"/>
              <w:right w:w="100" w:type="nil"/>
            </w:tcMar>
          </w:tcPr>
          <w:p w14:paraId="15C887A5" w14:textId="615486C9" w:rsidR="00AA0DA6" w:rsidRPr="00EB65C8" w:rsidRDefault="00AA0DA6" w:rsidP="00825E9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EE3CF86" w:rsidR="00AA0DA6" w:rsidRPr="003A32E4" w:rsidRDefault="00AA0DA6" w:rsidP="00825E98">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825E98">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825E9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825E98">
            <w:pPr>
              <w:widowControl w:val="0"/>
              <w:autoSpaceDE w:val="0"/>
              <w:autoSpaceDN w:val="0"/>
              <w:adjustRightInd w:val="0"/>
              <w:rPr>
                <w:rFonts w:ascii="Times New Roman" w:hAnsi="Times New Roman"/>
                <w:bCs/>
                <w:sz w:val="20"/>
                <w:szCs w:val="20"/>
              </w:rPr>
            </w:pPr>
          </w:p>
          <w:p w14:paraId="6BAB27B7" w14:textId="60996BE7" w:rsidR="00C4455B" w:rsidRDefault="00C4455B" w:rsidP="00825E98">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98CDF23" w14:textId="77777777" w:rsidR="00AA0DA6" w:rsidRDefault="00AA0DA6" w:rsidP="00825E9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1C58F93D"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14 vignettes, 2 each representing the six major areas of emphasis in our core curriculum (Cells, Metabolism, Genetics, Ecology, Evolution, Diversity); in 2022-23, the assessment exam was expanded to also include 2 </w:t>
            </w:r>
            <w:proofErr w:type="gramStart"/>
            <w:r>
              <w:rPr>
                <w:rFonts w:ascii="Times New Roman" w:hAnsi="Times New Roman"/>
                <w:sz w:val="20"/>
                <w:szCs w:val="20"/>
              </w:rPr>
              <w:t>vignettes  addressing</w:t>
            </w:r>
            <w:proofErr w:type="gramEnd"/>
            <w:r>
              <w:rPr>
                <w:rFonts w:ascii="Times New Roman" w:hAnsi="Times New Roman"/>
                <w:sz w:val="20"/>
                <w:szCs w:val="20"/>
              </w:rPr>
              <w:t xml:space="preserve"> topics related to molecular biotechnology, immunology, and microbiology.</w:t>
            </w:r>
          </w:p>
          <w:p w14:paraId="1C5E637E" w14:textId="77777777" w:rsidR="00AA0DA6" w:rsidRDefault="00AA0DA6" w:rsidP="00825E98">
            <w:pPr>
              <w:widowControl w:val="0"/>
              <w:autoSpaceDE w:val="0"/>
              <w:autoSpaceDN w:val="0"/>
              <w:adjustRightInd w:val="0"/>
              <w:rPr>
                <w:rFonts w:ascii="Times New Roman" w:hAnsi="Times New Roman"/>
                <w:sz w:val="20"/>
                <w:szCs w:val="20"/>
              </w:rPr>
            </w:pPr>
          </w:p>
          <w:p w14:paraId="6C1B9371"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78F43881" w14:textId="77777777" w:rsidR="00AA0DA6" w:rsidRDefault="00AA0DA6" w:rsidP="00825E98">
            <w:pPr>
              <w:widowControl w:val="0"/>
              <w:autoSpaceDE w:val="0"/>
              <w:autoSpaceDN w:val="0"/>
              <w:adjustRightInd w:val="0"/>
              <w:rPr>
                <w:rFonts w:ascii="Times New Roman" w:hAnsi="Times New Roman"/>
                <w:sz w:val="20"/>
                <w:szCs w:val="20"/>
              </w:rPr>
            </w:pPr>
          </w:p>
          <w:p w14:paraId="4C28A0C7"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4DACCC22" w14:textId="77777777" w:rsidR="00AA0DA6" w:rsidRDefault="00AA0DA6" w:rsidP="00825E98">
            <w:pPr>
              <w:widowControl w:val="0"/>
              <w:autoSpaceDE w:val="0"/>
              <w:autoSpaceDN w:val="0"/>
              <w:adjustRightInd w:val="0"/>
              <w:rPr>
                <w:rFonts w:ascii="Times New Roman" w:hAnsi="Times New Roman"/>
                <w:sz w:val="20"/>
                <w:szCs w:val="20"/>
              </w:rPr>
            </w:pPr>
          </w:p>
          <w:p w14:paraId="79200605"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201F83AE" w14:textId="17E57D57" w:rsidR="00FF3DCE" w:rsidRPr="003A32E4" w:rsidRDefault="00FF3DCE" w:rsidP="00825E98">
            <w:pPr>
              <w:rPr>
                <w:rFonts w:ascii="Times New Roman" w:hAnsi="Times New Roman"/>
                <w:color w:val="767171" w:themeColor="background2" w:themeShade="80"/>
                <w:sz w:val="20"/>
              </w:rPr>
            </w:pPr>
          </w:p>
        </w:tc>
      </w:tr>
      <w:tr w:rsidR="001160F4" w:rsidRPr="00964DD0" w14:paraId="6D41353B" w14:textId="77777777" w:rsidTr="00825E98">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825E9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BA0525E"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50% or higher, with the score on Introductory-level items at least 60%.</w:t>
            </w:r>
          </w:p>
          <w:p w14:paraId="0296C647" w14:textId="00D25303" w:rsidR="00406B46" w:rsidRPr="00FF3DCE" w:rsidRDefault="00406B46" w:rsidP="00825E98">
            <w:pPr>
              <w:widowControl w:val="0"/>
              <w:autoSpaceDE w:val="0"/>
              <w:autoSpaceDN w:val="0"/>
              <w:adjustRightInd w:val="0"/>
              <w:rPr>
                <w:rFonts w:ascii="Times New Roman" w:hAnsi="Times New Roman"/>
                <w:color w:val="767171" w:themeColor="background2" w:themeShade="80"/>
                <w:sz w:val="20"/>
                <w:szCs w:val="20"/>
              </w:rPr>
            </w:pPr>
          </w:p>
        </w:tc>
      </w:tr>
      <w:tr w:rsidR="00AA0DA6" w:rsidRPr="00964DD0" w14:paraId="6C28BC3F" w14:textId="77777777" w:rsidTr="00825E9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AA0DA6" w:rsidRDefault="00AA0DA6" w:rsidP="00825E9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A0DA6" w:rsidRDefault="00AA0DA6" w:rsidP="00825E98">
            <w:pPr>
              <w:widowControl w:val="0"/>
              <w:autoSpaceDE w:val="0"/>
              <w:autoSpaceDN w:val="0"/>
              <w:adjustRightInd w:val="0"/>
              <w:rPr>
                <w:rFonts w:ascii="Times New Roman" w:hAnsi="Times New Roman"/>
                <w:sz w:val="20"/>
                <w:szCs w:val="20"/>
              </w:rPr>
            </w:pPr>
          </w:p>
          <w:p w14:paraId="79A4156A" w14:textId="06BF8539" w:rsidR="00AA0DA6" w:rsidRPr="00964DD0" w:rsidRDefault="00AA0DA6" w:rsidP="00825E9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6AB73A3" w:rsidR="00AA0DA6" w:rsidRPr="00406B46" w:rsidRDefault="00AA0DA6" w:rsidP="00825E98">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AA0DA6" w:rsidRPr="00C4455B" w:rsidRDefault="00AA0DA6" w:rsidP="00825E9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F9D6F48" w14:textId="77777777" w:rsidR="00936D04" w:rsidRDefault="00936D04"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57.8% of students attained the criterion level of success, with 39.1% meeting the sub-criterion. The sample size was 64. </w:t>
            </w:r>
          </w:p>
          <w:p w14:paraId="7AE2DC42" w14:textId="0159B637" w:rsidR="00AA0DA6" w:rsidRPr="0075740F" w:rsidRDefault="00AA0DA6" w:rsidP="00825E98">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825E9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825E9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846889B" w14:textId="77777777" w:rsidR="00936D04" w:rsidRDefault="00936D04" w:rsidP="00825E98">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ven that the assessment instrument has been utilized through only 2 assessment cycles (and modified in-between in accordance with follow-up activities derived from analysis of the 2020-21 assessment results), we are reluctant to draw too many conclusions or implications from patterns in the scores within and among content areas. Nevertheless, we can summarize the patterns based on this assessment. Across all mastery levels, students as a group performed best on questions related to the BIOL 120/121 content - metabolism (63.0% correct responses), genetics (55.4%), and cells (53.9%), and somewhat lower on BIOL 122/123 content – evolution (52.6%), ecology (47.5%), and diversity (44.9%). This distribution of scores across content areas makes sense with respect to emphasis of students in the program. Most 617 majors are preprofessional and take elective classes in cell and molecular biology; however, it is a bit different from the pattern observed during the 2020-21 assessment cycle. Overall, students performed worst on the new module related to biotechnology, immunology, and microbiology (42.0%); again, this is not surprising, as these topics are more specialized and targeted at students in our Molecular Biotechnology and Medical Laboratory Science programs.</w:t>
            </w:r>
          </w:p>
          <w:p w14:paraId="74F38AC1" w14:textId="77777777" w:rsidR="00936D04" w:rsidRDefault="00936D04" w:rsidP="00825E98">
            <w:pPr>
              <w:rPr>
                <w:rFonts w:ascii="Times New Roman" w:hAnsi="Times New Roman"/>
                <w:bCs/>
                <w:sz w:val="20"/>
                <w:szCs w:val="20"/>
              </w:rPr>
            </w:pPr>
          </w:p>
          <w:p w14:paraId="06BCD006" w14:textId="3C460355" w:rsidR="00936D04" w:rsidRPr="00936D04" w:rsidRDefault="00936D04" w:rsidP="00825E98">
            <w:pPr>
              <w:rPr>
                <w:rFonts w:ascii="Times New Roman" w:hAnsi="Times New Roman"/>
                <w:bCs/>
                <w:sz w:val="20"/>
                <w:szCs w:val="20"/>
              </w:rPr>
            </w:pPr>
            <w:r>
              <w:rPr>
                <w:rFonts w:ascii="Times New Roman" w:hAnsi="Times New Roman"/>
                <w:bCs/>
                <w:sz w:val="20"/>
                <w:szCs w:val="20"/>
              </w:rPr>
              <w:t xml:space="preserve">Across all content areas, student performance on introductory-level questions was 56.6%, 47.6% on intermediate-level items, and 49.8% on mastery-level items; this pattern was consistent with that observed during the 2020-21 assessment cycle. </w:t>
            </w:r>
          </w:p>
        </w:tc>
      </w:tr>
      <w:tr w:rsidR="00402256" w:rsidRPr="00964DD0" w14:paraId="2840278E" w14:textId="77777777" w:rsidTr="00825E98">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825E9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825E9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825E9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825E98">
              <w:rPr>
                <w:rFonts w:ascii="Times New Roman" w:hAnsi="Times New Roman"/>
                <w:b/>
                <w:sz w:val="22"/>
                <w:szCs w:val="22"/>
              </w:rPr>
            </w:r>
            <w:r w:rsidR="00825E98">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3B9763EE" w:rsidR="00402256" w:rsidRPr="003A32E4" w:rsidRDefault="00AA0DA6" w:rsidP="00825E9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825E98">
              <w:rPr>
                <w:rFonts w:ascii="Times New Roman" w:hAnsi="Times New Roman"/>
                <w:b/>
                <w:sz w:val="22"/>
                <w:szCs w:val="22"/>
              </w:rPr>
            </w:r>
            <w:r w:rsidR="00825E98">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825E98">
        <w:trPr>
          <w:trHeight w:val="20"/>
        </w:trPr>
        <w:tc>
          <w:tcPr>
            <w:tcW w:w="14395" w:type="dxa"/>
            <w:gridSpan w:val="6"/>
            <w:shd w:val="clear" w:color="auto" w:fill="auto"/>
            <w:tcMar>
              <w:top w:w="100" w:type="nil"/>
              <w:right w:w="100" w:type="nil"/>
            </w:tcMar>
          </w:tcPr>
          <w:p w14:paraId="403A3B44" w14:textId="7F37665E" w:rsidR="00402256" w:rsidRPr="0054609C" w:rsidRDefault="0006474C" w:rsidP="00825E98">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825E98">
        <w:trPr>
          <w:trHeight w:val="20"/>
        </w:trPr>
        <w:tc>
          <w:tcPr>
            <w:tcW w:w="14395" w:type="dxa"/>
            <w:gridSpan w:val="6"/>
            <w:shd w:val="clear" w:color="auto" w:fill="auto"/>
            <w:tcMar>
              <w:top w:w="100" w:type="nil"/>
              <w:right w:w="100" w:type="nil"/>
            </w:tcMar>
          </w:tcPr>
          <w:p w14:paraId="56FE7AA7" w14:textId="77777777" w:rsidR="00AA0DA6" w:rsidRDefault="00AA0DA6" w:rsidP="00825E98">
            <w:pPr>
              <w:rPr>
                <w:rFonts w:ascii="Times New Roman" w:hAnsi="Times New Roman"/>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Pr="00583C1B">
              <w:rPr>
                <w:rFonts w:ascii="Times New Roman" w:hAnsi="Times New Roman"/>
                <w:bCs/>
                <w:sz w:val="20"/>
                <w:szCs w:val="20"/>
              </w:rPr>
              <w:t xml:space="preserve">incorporating the new module into the assessment instrument was fulfilled, and met the intent. Our assessment results </w:t>
            </w:r>
            <w:r>
              <w:rPr>
                <w:rFonts w:ascii="Times New Roman" w:hAnsi="Times New Roman"/>
                <w:sz w:val="20"/>
                <w:szCs w:val="20"/>
              </w:rPr>
              <w:t xml:space="preserve">suggest </w:t>
            </w:r>
            <w:r w:rsidRPr="00583C1B">
              <w:rPr>
                <w:rFonts w:ascii="Times New Roman" w:hAnsi="Times New Roman"/>
                <w:sz w:val="20"/>
                <w:szCs w:val="20"/>
              </w:rPr>
              <w:t>it would be appropriate and valid to evaluate the extent to which key topics from BIOL 120/121 and BIOL 122/123 and other foundational courses (which form the basis of the assessment exam) are clearly scaffolded across the curriculum.</w:t>
            </w:r>
          </w:p>
          <w:p w14:paraId="4A086226" w14:textId="77777777" w:rsidR="00AA0DA6" w:rsidRDefault="00AA0DA6" w:rsidP="00825E98">
            <w:pPr>
              <w:rPr>
                <w:rFonts w:ascii="Times New Roman" w:hAnsi="Times New Roman"/>
                <w:sz w:val="20"/>
                <w:szCs w:val="20"/>
              </w:rPr>
            </w:pPr>
          </w:p>
          <w:p w14:paraId="647144A9" w14:textId="77777777" w:rsidR="00AA0DA6" w:rsidRPr="00AA0DA6" w:rsidRDefault="00AA0DA6" w:rsidP="00825E98">
            <w:pPr>
              <w:rPr>
                <w:rFonts w:ascii="Times New Roman" w:hAnsi="Times New Roman"/>
                <w:b/>
                <w:bCs/>
                <w:sz w:val="20"/>
                <w:szCs w:val="20"/>
              </w:rPr>
            </w:pPr>
            <w:r w:rsidRPr="00AA0DA6">
              <w:rPr>
                <w:rFonts w:ascii="Times New Roman" w:hAnsi="Times New Roman"/>
                <w:b/>
                <w:bCs/>
                <w:sz w:val="20"/>
                <w:szCs w:val="20"/>
              </w:rPr>
              <w:t>Actions:</w:t>
            </w:r>
          </w:p>
          <w:p w14:paraId="3AA46372" w14:textId="77777777" w:rsidR="00AA0DA6" w:rsidRDefault="00AA0DA6" w:rsidP="00825E98">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4F87EDAC" w14:textId="77777777" w:rsidR="00AA0DA6" w:rsidRDefault="00AA0DA6" w:rsidP="00825E98">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CBEBA4B" w14:textId="77777777" w:rsidR="00AA0DA6" w:rsidRDefault="00AA0DA6" w:rsidP="00825E98">
            <w:pPr>
              <w:rPr>
                <w:rFonts w:ascii="Times New Roman" w:hAnsi="Times New Roman"/>
                <w:b/>
                <w:sz w:val="20"/>
                <w:szCs w:val="20"/>
              </w:rPr>
            </w:pPr>
          </w:p>
          <w:p w14:paraId="1DC9AF66" w14:textId="77777777" w:rsidR="00AA0DA6" w:rsidRDefault="00AA0DA6" w:rsidP="00825E98">
            <w:pPr>
              <w:rPr>
                <w:rFonts w:ascii="Times New Roman" w:hAnsi="Times New Roman"/>
                <w:b/>
                <w:sz w:val="20"/>
                <w:szCs w:val="20"/>
              </w:rPr>
            </w:pPr>
            <w:r>
              <w:rPr>
                <w:rFonts w:ascii="Times New Roman" w:hAnsi="Times New Roman"/>
                <w:b/>
                <w:sz w:val="20"/>
                <w:szCs w:val="20"/>
              </w:rPr>
              <w:t>Follow-Up:</w:t>
            </w:r>
          </w:p>
          <w:p w14:paraId="542A5A81" w14:textId="77777777" w:rsidR="00AA0DA6" w:rsidRPr="00583C1B" w:rsidRDefault="00AA0DA6" w:rsidP="00825E98">
            <w:pPr>
              <w:rPr>
                <w:rFonts w:ascii="Times New Roman" w:hAnsi="Times New Roman"/>
                <w:sz w:val="20"/>
                <w:szCs w:val="20"/>
              </w:rPr>
            </w:pPr>
            <w:r>
              <w:rPr>
                <w:rFonts w:ascii="Times New Roman" w:hAnsi="Times New Roman"/>
                <w:sz w:val="20"/>
                <w:szCs w:val="20"/>
              </w:rPr>
              <w:t xml:space="preserve">1. The Committee will work with </w:t>
            </w:r>
            <w:r w:rsidRPr="00583C1B">
              <w:rPr>
                <w:rFonts w:ascii="Times New Roman" w:hAnsi="Times New Roman"/>
                <w:sz w:val="20"/>
                <w:szCs w:val="20"/>
              </w:rPr>
              <w:t>program faculty to evaluate the degree to which the coverage of important topics in foundational courses is adequate and aligned to promote student learning and success in subsequent courses. (</w:t>
            </w:r>
            <w:r>
              <w:rPr>
                <w:rFonts w:ascii="Times New Roman" w:hAnsi="Times New Roman"/>
                <w:sz w:val="20"/>
                <w:szCs w:val="20"/>
              </w:rPr>
              <w:t>Fall 2024</w:t>
            </w:r>
            <w:r w:rsidRPr="00583C1B">
              <w:rPr>
                <w:rFonts w:ascii="Times New Roman" w:hAnsi="Times New Roman"/>
                <w:sz w:val="20"/>
                <w:szCs w:val="20"/>
              </w:rPr>
              <w:t>).</w:t>
            </w:r>
          </w:p>
          <w:p w14:paraId="249E6138" w14:textId="77777777" w:rsidR="00AA0DA6" w:rsidRDefault="00AA0DA6" w:rsidP="00825E98">
            <w:pPr>
              <w:rPr>
                <w:rFonts w:ascii="Times New Roman" w:hAnsi="Times New Roman"/>
                <w:b/>
                <w:sz w:val="20"/>
                <w:szCs w:val="20"/>
              </w:rPr>
            </w:pPr>
          </w:p>
          <w:p w14:paraId="502041CE" w14:textId="77777777" w:rsidR="00AA0DA6" w:rsidRDefault="00AA0DA6" w:rsidP="00825E98">
            <w:pPr>
              <w:rPr>
                <w:rFonts w:ascii="Times New Roman" w:hAnsi="Times New Roman"/>
                <w:b/>
                <w:sz w:val="20"/>
                <w:szCs w:val="20"/>
              </w:rPr>
            </w:pPr>
            <w:r>
              <w:rPr>
                <w:rFonts w:ascii="Times New Roman" w:hAnsi="Times New Roman"/>
                <w:b/>
                <w:sz w:val="20"/>
                <w:szCs w:val="20"/>
              </w:rPr>
              <w:t>Next Assessment Cycle:</w:t>
            </w:r>
          </w:p>
          <w:p w14:paraId="09839466" w14:textId="77777777" w:rsidR="00AA0DA6" w:rsidRDefault="00AA0DA6" w:rsidP="00825E98">
            <w:pPr>
              <w:jc w:val="both"/>
              <w:rPr>
                <w:rFonts w:ascii="Times New Roman" w:hAnsi="Times New Roman"/>
                <w:sz w:val="20"/>
              </w:rPr>
            </w:pPr>
            <w:r>
              <w:rPr>
                <w:rFonts w:ascii="Times New Roman" w:hAnsi="Times New Roman"/>
                <w:sz w:val="20"/>
              </w:rPr>
              <w:t>2024-25 academic year</w:t>
            </w:r>
          </w:p>
          <w:p w14:paraId="2B3811B9" w14:textId="32EA19B3" w:rsidR="00AA0DA6" w:rsidRPr="0054609C" w:rsidRDefault="00AA0DA6" w:rsidP="00825E98">
            <w:pPr>
              <w:rPr>
                <w:rFonts w:ascii="Times New Roman" w:hAnsi="Times New Roman"/>
                <w:b/>
                <w:sz w:val="20"/>
                <w:szCs w:val="20"/>
              </w:rPr>
            </w:pPr>
          </w:p>
        </w:tc>
      </w:tr>
    </w:tbl>
    <w:p w14:paraId="7E485A64" w14:textId="758EE90C" w:rsidR="00F136C3" w:rsidRDefault="00F136C3"/>
    <w:p w14:paraId="426A44B3" w14:textId="77777777" w:rsidR="00825E98" w:rsidRDefault="00825E98">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825E98">
        <w:trPr>
          <w:trHeight w:val="20"/>
        </w:trPr>
        <w:tc>
          <w:tcPr>
            <w:tcW w:w="14395" w:type="dxa"/>
            <w:gridSpan w:val="6"/>
            <w:tcBorders>
              <w:bottom w:val="single" w:sz="4" w:space="0" w:color="auto"/>
            </w:tcBorders>
            <w:shd w:val="pct15" w:color="auto" w:fill="auto"/>
            <w:tcMar>
              <w:top w:w="100" w:type="nil"/>
              <w:right w:w="100" w:type="nil"/>
            </w:tcMar>
          </w:tcPr>
          <w:p w14:paraId="4224890A" w14:textId="2D376D56" w:rsidR="003A32E4" w:rsidRPr="001E35D2" w:rsidRDefault="00FF131C" w:rsidP="00825E98">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AA0DA6" w:rsidRPr="00964DD0" w14:paraId="56618C8D" w14:textId="77777777" w:rsidTr="00825E98">
        <w:trPr>
          <w:trHeight w:val="20"/>
        </w:trPr>
        <w:tc>
          <w:tcPr>
            <w:tcW w:w="2875" w:type="dxa"/>
            <w:tcBorders>
              <w:bottom w:val="single" w:sz="4" w:space="0" w:color="auto"/>
            </w:tcBorders>
            <w:shd w:val="pct5" w:color="auto" w:fill="auto"/>
            <w:tcMar>
              <w:top w:w="100" w:type="nil"/>
              <w:right w:w="100" w:type="nil"/>
            </w:tcMar>
          </w:tcPr>
          <w:p w14:paraId="2E856376" w14:textId="67B5B57B" w:rsidR="00AA0DA6" w:rsidRPr="00EB65C8" w:rsidRDefault="00AA0DA6" w:rsidP="00825E9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11D868C" w:rsidR="00AA0DA6" w:rsidRPr="003A32E4" w:rsidRDefault="00AA0DA6" w:rsidP="00825E98">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AA0DA6" w:rsidRPr="00964DD0" w14:paraId="26F216B8" w14:textId="77777777" w:rsidTr="00825E9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A0DA6" w:rsidRPr="005D68AF" w:rsidRDefault="00AA0DA6" w:rsidP="00825E9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80CEA78" w14:textId="77777777" w:rsidR="00AA0DA6" w:rsidRDefault="00AA0DA6" w:rsidP="00825E9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28BC9F2"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w:t>
            </w:r>
            <w:proofErr w:type="gramStart"/>
            <w:r>
              <w:rPr>
                <w:rFonts w:ascii="Times New Roman" w:hAnsi="Times New Roman"/>
                <w:sz w:val="20"/>
                <w:szCs w:val="20"/>
              </w:rPr>
              <w:t>These module</w:t>
            </w:r>
            <w:proofErr w:type="gramEnd"/>
            <w:r>
              <w:rPr>
                <w:rFonts w:ascii="Times New Roman" w:hAnsi="Times New Roman"/>
                <w:sz w:val="20"/>
                <w:szCs w:val="20"/>
              </w:rPr>
              <w:t xml:space="preserve"> educate and evaluate researchers on up-to-date issues and standards of research ethics, research integrity, and researcher conduct.</w:t>
            </w:r>
          </w:p>
          <w:p w14:paraId="07CF2647" w14:textId="77777777" w:rsidR="00AA0DA6" w:rsidRDefault="00AA0DA6" w:rsidP="00825E98">
            <w:pPr>
              <w:widowControl w:val="0"/>
              <w:autoSpaceDE w:val="0"/>
              <w:autoSpaceDN w:val="0"/>
              <w:adjustRightInd w:val="0"/>
              <w:rPr>
                <w:rFonts w:ascii="Times New Roman" w:hAnsi="Times New Roman"/>
                <w:sz w:val="20"/>
                <w:szCs w:val="20"/>
              </w:rPr>
            </w:pPr>
          </w:p>
          <w:p w14:paraId="30FC31B5" w14:textId="77777777" w:rsidR="00AA0DA6"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560BC445" w14:textId="77777777" w:rsidR="00AA0DA6" w:rsidRDefault="00AA0DA6" w:rsidP="00825E98">
            <w:pPr>
              <w:widowControl w:val="0"/>
              <w:autoSpaceDE w:val="0"/>
              <w:autoSpaceDN w:val="0"/>
              <w:adjustRightInd w:val="0"/>
              <w:rPr>
                <w:rFonts w:ascii="Times New Roman" w:hAnsi="Times New Roman"/>
                <w:sz w:val="20"/>
                <w:szCs w:val="20"/>
              </w:rPr>
            </w:pPr>
          </w:p>
          <w:p w14:paraId="0194078B" w14:textId="2FBAADBB" w:rsidR="00AA0DA6" w:rsidRPr="005D68AF" w:rsidRDefault="00AA0DA6" w:rsidP="00825E98">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tc>
      </w:tr>
      <w:tr w:rsidR="00AA0DA6" w:rsidRPr="00964DD0" w14:paraId="2D9608C0" w14:textId="77777777" w:rsidTr="00825E98">
        <w:trPr>
          <w:trHeight w:val="20"/>
        </w:trPr>
        <w:tc>
          <w:tcPr>
            <w:tcW w:w="2875" w:type="dxa"/>
            <w:tcBorders>
              <w:left w:val="single" w:sz="4" w:space="0" w:color="auto"/>
            </w:tcBorders>
            <w:shd w:val="clear" w:color="auto" w:fill="auto"/>
            <w:tcMar>
              <w:top w:w="100" w:type="nil"/>
              <w:right w:w="100" w:type="nil"/>
            </w:tcMar>
          </w:tcPr>
          <w:p w14:paraId="305E65AA" w14:textId="77777777" w:rsidR="00AA0DA6" w:rsidRPr="001160F4" w:rsidRDefault="00AA0DA6" w:rsidP="00825E9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27A7A2F9" w:rsidR="00AA0DA6" w:rsidRPr="00F136C3" w:rsidRDefault="00AA0DA6" w:rsidP="00825E98">
            <w:pPr>
              <w:widowControl w:val="0"/>
              <w:autoSpaceDE w:val="0"/>
              <w:autoSpaceDN w:val="0"/>
              <w:adjustRightInd w:val="0"/>
              <w:rPr>
                <w:rFonts w:ascii="Times New Roman" w:hAnsi="Times New Roman"/>
                <w:color w:val="767171" w:themeColor="background2" w:themeShade="80"/>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tc>
      </w:tr>
      <w:tr w:rsidR="00936D04" w:rsidRPr="00964DD0" w14:paraId="27D305ED" w14:textId="77777777" w:rsidTr="00825E9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936D04" w:rsidRDefault="00936D04" w:rsidP="00825E9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936D04" w:rsidRDefault="00936D04" w:rsidP="00825E98">
            <w:pPr>
              <w:widowControl w:val="0"/>
              <w:autoSpaceDE w:val="0"/>
              <w:autoSpaceDN w:val="0"/>
              <w:adjustRightInd w:val="0"/>
              <w:rPr>
                <w:rFonts w:ascii="Times New Roman" w:hAnsi="Times New Roman"/>
                <w:sz w:val="20"/>
                <w:szCs w:val="20"/>
              </w:rPr>
            </w:pPr>
          </w:p>
          <w:p w14:paraId="73BCDD76" w14:textId="77777777" w:rsidR="00936D04" w:rsidRPr="00964DD0" w:rsidRDefault="00936D04" w:rsidP="00825E9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FB0505E" w:rsidR="00936D04" w:rsidRPr="00964DD0" w:rsidRDefault="00936D04" w:rsidP="00825E98">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936D04" w:rsidRPr="00C4455B" w:rsidRDefault="00936D04" w:rsidP="00825E9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E98AEEA" w:rsidR="00936D04" w:rsidRPr="0075740F" w:rsidRDefault="00936D04" w:rsidP="00825E98">
            <w:pPr>
              <w:widowControl w:val="0"/>
              <w:autoSpaceDE w:val="0"/>
              <w:autoSpaceDN w:val="0"/>
              <w:adjustRightInd w:val="0"/>
              <w:rPr>
                <w:rFonts w:ascii="Times New Roman" w:hAnsi="Times New Roman"/>
                <w:color w:val="767171" w:themeColor="background2" w:themeShade="80"/>
                <w:sz w:val="20"/>
                <w:szCs w:val="20"/>
              </w:rPr>
            </w:pPr>
            <w:r w:rsidRPr="00EC6C49">
              <w:rPr>
                <w:rFonts w:ascii="Times New Roman" w:hAnsi="Times New Roman"/>
                <w:sz w:val="20"/>
                <w:szCs w:val="20"/>
              </w:rPr>
              <w:t>9</w:t>
            </w:r>
            <w:r>
              <w:rPr>
                <w:rFonts w:ascii="Times New Roman" w:hAnsi="Times New Roman"/>
                <w:sz w:val="20"/>
                <w:szCs w:val="20"/>
              </w:rPr>
              <w:t>7.0%</w:t>
            </w:r>
            <w:r w:rsidRPr="00EC6C49">
              <w:rPr>
                <w:rFonts w:ascii="Times New Roman" w:hAnsi="Times New Roman"/>
                <w:sz w:val="20"/>
                <w:szCs w:val="20"/>
              </w:rPr>
              <w:t xml:space="preserve"> of students attained the criterion level of success. The sample size was 6</w:t>
            </w:r>
            <w:r>
              <w:rPr>
                <w:rFonts w:ascii="Times New Roman" w:hAnsi="Times New Roman"/>
                <w:sz w:val="20"/>
                <w:szCs w:val="20"/>
              </w:rPr>
              <w:t>7</w:t>
            </w:r>
            <w:r w:rsidRPr="00EC6C49">
              <w:rPr>
                <w:rFonts w:ascii="Times New Roman" w:hAnsi="Times New Roman"/>
                <w:sz w:val="20"/>
                <w:szCs w:val="20"/>
              </w:rPr>
              <w:t>.</w:t>
            </w:r>
          </w:p>
        </w:tc>
      </w:tr>
      <w:tr w:rsidR="00AA0DA6" w:rsidRPr="00964DD0" w14:paraId="1DFBE8D6" w14:textId="77777777" w:rsidTr="00825E9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AA0DA6" w:rsidRPr="00EB65C8" w:rsidRDefault="00AA0DA6" w:rsidP="00825E9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1DA534F" w:rsidR="00AA0DA6" w:rsidRPr="00964DD0" w:rsidRDefault="00AA0DA6" w:rsidP="00825E9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solid understanding of research ethics gained through completion of the CITI training course. However, comments from students included such statements as ‘I had no idea that…’ and ‘I wish I had known this earlier.’ These suggest that it would be beneficial for student learning and professional development to gain exposure to research ethics earlier in the curriculum. In so doing, the program could also enhance learning in this regard by scaffolding a series of increasingly-advanced levels of CITI training at various points </w:t>
            </w:r>
            <w:proofErr w:type="spellStart"/>
            <w:r>
              <w:rPr>
                <w:rFonts w:ascii="Times New Roman" w:hAnsi="Times New Roman"/>
                <w:sz w:val="20"/>
                <w:szCs w:val="20"/>
              </w:rPr>
              <w:t>thoughout</w:t>
            </w:r>
            <w:proofErr w:type="spellEnd"/>
            <w:r>
              <w:rPr>
                <w:rFonts w:ascii="Times New Roman" w:hAnsi="Times New Roman"/>
                <w:sz w:val="20"/>
                <w:szCs w:val="20"/>
              </w:rPr>
              <w:t xml:space="preserve"> the curriculum; this will both expand and deepen students’ exposure to research ethics issues.</w:t>
            </w:r>
          </w:p>
        </w:tc>
      </w:tr>
      <w:tr w:rsidR="00AA0DA6" w:rsidRPr="00964DD0" w14:paraId="04490521" w14:textId="77777777" w:rsidTr="00825E98">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AA0DA6" w:rsidRDefault="00AA0DA6" w:rsidP="00825E9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AA0DA6" w:rsidRPr="003A32E4" w:rsidRDefault="00AA0DA6" w:rsidP="00825E9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33D4250" w:rsidR="00AA0DA6" w:rsidRPr="003A32E4" w:rsidRDefault="00226A7C" w:rsidP="00825E9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825E98">
              <w:rPr>
                <w:rFonts w:ascii="Times New Roman" w:hAnsi="Times New Roman"/>
                <w:b/>
                <w:sz w:val="22"/>
                <w:szCs w:val="22"/>
              </w:rPr>
            </w:r>
            <w:r w:rsidR="00825E98">
              <w:rPr>
                <w:rFonts w:ascii="Times New Roman" w:hAnsi="Times New Roman"/>
                <w:b/>
                <w:sz w:val="22"/>
                <w:szCs w:val="22"/>
              </w:rPr>
              <w:fldChar w:fldCharType="separate"/>
            </w:r>
            <w:r>
              <w:rPr>
                <w:rFonts w:ascii="Times New Roman" w:hAnsi="Times New Roman"/>
                <w:b/>
                <w:sz w:val="22"/>
                <w:szCs w:val="22"/>
              </w:rPr>
              <w:fldChar w:fldCharType="end"/>
            </w:r>
            <w:bookmarkEnd w:id="10"/>
            <w:r w:rsidR="00AA0DA6">
              <w:rPr>
                <w:rFonts w:ascii="Times New Roman" w:hAnsi="Times New Roman"/>
                <w:b/>
                <w:sz w:val="22"/>
                <w:szCs w:val="22"/>
              </w:rPr>
              <w:t xml:space="preserve"> </w:t>
            </w:r>
            <w:r w:rsidR="00AA0DA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AA0DA6" w:rsidRPr="003A32E4" w:rsidRDefault="00AA0DA6" w:rsidP="00825E9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825E98">
              <w:rPr>
                <w:rFonts w:ascii="Times New Roman" w:hAnsi="Times New Roman"/>
                <w:b/>
                <w:sz w:val="22"/>
                <w:szCs w:val="22"/>
              </w:rPr>
            </w:r>
            <w:r w:rsidR="00825E9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AA0DA6" w:rsidRPr="00964DD0" w14:paraId="0D3445A0" w14:textId="77777777" w:rsidTr="00825E98">
        <w:trPr>
          <w:trHeight w:val="20"/>
        </w:trPr>
        <w:tc>
          <w:tcPr>
            <w:tcW w:w="14395" w:type="dxa"/>
            <w:gridSpan w:val="6"/>
            <w:shd w:val="clear" w:color="auto" w:fill="auto"/>
            <w:tcMar>
              <w:top w:w="100" w:type="nil"/>
              <w:right w:w="100" w:type="nil"/>
            </w:tcMar>
          </w:tcPr>
          <w:p w14:paraId="00566383" w14:textId="2DE228EF" w:rsidR="00AA0DA6" w:rsidRPr="0054609C" w:rsidRDefault="00AA0DA6" w:rsidP="00825E9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A0DA6" w:rsidRPr="00964DD0" w14:paraId="5A144F00" w14:textId="77777777" w:rsidTr="00825E98">
        <w:trPr>
          <w:trHeight w:val="20"/>
        </w:trPr>
        <w:tc>
          <w:tcPr>
            <w:tcW w:w="14395" w:type="dxa"/>
            <w:gridSpan w:val="6"/>
            <w:shd w:val="clear" w:color="auto" w:fill="auto"/>
            <w:tcMar>
              <w:top w:w="100" w:type="nil"/>
              <w:right w:w="100" w:type="nil"/>
            </w:tcMar>
          </w:tcPr>
          <w:p w14:paraId="433EBBE6" w14:textId="0377310E" w:rsidR="00AA0DA6" w:rsidRDefault="00AA0DA6" w:rsidP="00825E98">
            <w:pPr>
              <w:rPr>
                <w:rFonts w:ascii="Times New Roman" w:hAnsi="Times New Roman"/>
                <w:bCs/>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 xml:space="preserve"> 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00226A7C">
              <w:rPr>
                <w:rFonts w:ascii="Times New Roman" w:hAnsi="Times New Roman"/>
                <w:bCs/>
                <w:sz w:val="20"/>
                <w:szCs w:val="20"/>
              </w:rPr>
              <w:t>scaffolding relevant CITI modules into our core and restricted-elective curriculum is in process</w:t>
            </w:r>
            <w:r w:rsidRPr="00583C1B">
              <w:rPr>
                <w:rFonts w:ascii="Times New Roman" w:hAnsi="Times New Roman"/>
                <w:bCs/>
                <w:sz w:val="20"/>
                <w:szCs w:val="20"/>
              </w:rPr>
              <w:t xml:space="preserve">. </w:t>
            </w:r>
            <w:r w:rsidR="00226A7C">
              <w:rPr>
                <w:rFonts w:ascii="Times New Roman" w:hAnsi="Times New Roman"/>
                <w:bCs/>
                <w:sz w:val="20"/>
                <w:szCs w:val="20"/>
              </w:rPr>
              <w:t xml:space="preserve">Our assessment results suggest it is appropriate to </w:t>
            </w:r>
            <w:proofErr w:type="spellStart"/>
            <w:r w:rsidR="00226A7C">
              <w:rPr>
                <w:rFonts w:ascii="Times New Roman" w:hAnsi="Times New Roman"/>
                <w:bCs/>
                <w:sz w:val="20"/>
                <w:szCs w:val="20"/>
              </w:rPr>
              <w:t>ontinue</w:t>
            </w:r>
            <w:proofErr w:type="spellEnd"/>
            <w:r w:rsidR="00226A7C">
              <w:rPr>
                <w:rFonts w:ascii="Times New Roman" w:hAnsi="Times New Roman"/>
                <w:bCs/>
                <w:sz w:val="20"/>
                <w:szCs w:val="20"/>
              </w:rPr>
              <w:t xml:space="preserve"> with this plan.</w:t>
            </w:r>
          </w:p>
          <w:p w14:paraId="68565D70" w14:textId="77777777" w:rsidR="00226A7C" w:rsidRDefault="00226A7C" w:rsidP="00825E98">
            <w:pPr>
              <w:rPr>
                <w:rFonts w:ascii="Times New Roman" w:hAnsi="Times New Roman"/>
                <w:bCs/>
                <w:sz w:val="20"/>
                <w:szCs w:val="20"/>
              </w:rPr>
            </w:pPr>
          </w:p>
          <w:p w14:paraId="7253C78F" w14:textId="4353CC15" w:rsidR="00226A7C" w:rsidRPr="00226A7C" w:rsidRDefault="00226A7C" w:rsidP="00825E98">
            <w:pPr>
              <w:rPr>
                <w:rFonts w:ascii="Times New Roman" w:hAnsi="Times New Roman"/>
                <w:b/>
                <w:sz w:val="20"/>
                <w:szCs w:val="20"/>
              </w:rPr>
            </w:pPr>
            <w:r w:rsidRPr="00226A7C">
              <w:rPr>
                <w:rFonts w:ascii="Times New Roman" w:hAnsi="Times New Roman"/>
                <w:b/>
                <w:sz w:val="20"/>
                <w:szCs w:val="20"/>
              </w:rPr>
              <w:t>Actions:</w:t>
            </w:r>
          </w:p>
          <w:p w14:paraId="0016336E" w14:textId="77777777" w:rsidR="00226A7C" w:rsidRDefault="00226A7C" w:rsidP="00825E98">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6EBFA367" w14:textId="77777777" w:rsidR="00226A7C" w:rsidRDefault="00226A7C" w:rsidP="00825E98">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3C35B307" w14:textId="77777777" w:rsidR="00226A7C" w:rsidRDefault="00226A7C" w:rsidP="00825E98">
            <w:pPr>
              <w:rPr>
                <w:rFonts w:ascii="Times New Roman" w:hAnsi="Times New Roman"/>
                <w:sz w:val="20"/>
                <w:szCs w:val="20"/>
              </w:rPr>
            </w:pPr>
          </w:p>
          <w:p w14:paraId="0F4A90FA" w14:textId="77777777" w:rsidR="00AA0DA6" w:rsidRDefault="00226A7C" w:rsidP="00825E98">
            <w:pPr>
              <w:jc w:val="both"/>
              <w:rPr>
                <w:rFonts w:ascii="Times New Roman" w:hAnsi="Times New Roman"/>
                <w:b/>
                <w:sz w:val="20"/>
                <w:szCs w:val="20"/>
              </w:rPr>
            </w:pPr>
            <w:r>
              <w:rPr>
                <w:rFonts w:ascii="Times New Roman" w:hAnsi="Times New Roman"/>
                <w:b/>
                <w:sz w:val="20"/>
                <w:szCs w:val="20"/>
              </w:rPr>
              <w:t>Follow-Up:</w:t>
            </w:r>
          </w:p>
          <w:p w14:paraId="197FA501" w14:textId="77777777" w:rsidR="00226A7C" w:rsidRPr="00F07D74" w:rsidRDefault="00226A7C" w:rsidP="00825E98">
            <w:pPr>
              <w:ind w:left="360" w:hanging="360"/>
              <w:contextualSpacing/>
              <w:rPr>
                <w:rFonts w:ascii="Times New Roman" w:hAnsi="Times New Roman"/>
                <w:bCs/>
                <w:sz w:val="20"/>
                <w:szCs w:val="20"/>
              </w:rPr>
            </w:pPr>
            <w:r w:rsidRPr="00F07D74">
              <w:rPr>
                <w:rFonts w:ascii="Times New Roman" w:hAnsi="Times New Roman"/>
                <w:bCs/>
                <w:sz w:val="20"/>
                <w:szCs w:val="20"/>
              </w:rPr>
              <w:t>1. Require all students in BIOL 225 and 227 to complete the Basic Biosafety Course.</w:t>
            </w:r>
            <w:r>
              <w:rPr>
                <w:rFonts w:ascii="Times New Roman" w:hAnsi="Times New Roman"/>
                <w:bCs/>
                <w:sz w:val="20"/>
                <w:szCs w:val="20"/>
              </w:rPr>
              <w:t xml:space="preserve"> (Fall 2024)</w:t>
            </w:r>
          </w:p>
          <w:p w14:paraId="50E9C3B8" w14:textId="77777777" w:rsidR="00226A7C" w:rsidRDefault="00226A7C" w:rsidP="00825E98">
            <w:pPr>
              <w:rPr>
                <w:rFonts w:ascii="Times New Roman" w:hAnsi="Times New Roman"/>
                <w:bCs/>
                <w:sz w:val="20"/>
                <w:szCs w:val="20"/>
              </w:rPr>
            </w:pPr>
            <w:r w:rsidRPr="00F07D74">
              <w:rPr>
                <w:rFonts w:ascii="Times New Roman" w:hAnsi="Times New Roman"/>
                <w:bCs/>
                <w:sz w:val="20"/>
                <w:szCs w:val="20"/>
              </w:rPr>
              <w:t>2. Require all students in BIOL 322 and 337 to complete the NIH rDNA Guidelines Course or similar, appropriate CITI course.</w:t>
            </w:r>
            <w:r>
              <w:rPr>
                <w:rFonts w:ascii="Times New Roman" w:hAnsi="Times New Roman"/>
                <w:bCs/>
                <w:sz w:val="20"/>
                <w:szCs w:val="20"/>
              </w:rPr>
              <w:t xml:space="preserve"> (Fall 2024)</w:t>
            </w:r>
          </w:p>
          <w:p w14:paraId="387F7D2C" w14:textId="77777777" w:rsidR="00226A7C" w:rsidRDefault="00226A7C" w:rsidP="00825E98">
            <w:pPr>
              <w:jc w:val="both"/>
              <w:rPr>
                <w:rFonts w:ascii="Times New Roman" w:hAnsi="Times New Roman"/>
                <w:b/>
                <w:sz w:val="20"/>
                <w:szCs w:val="20"/>
              </w:rPr>
            </w:pPr>
          </w:p>
          <w:p w14:paraId="66B1F6FF" w14:textId="77777777" w:rsidR="00226A7C" w:rsidRDefault="00226A7C" w:rsidP="00825E98">
            <w:pPr>
              <w:jc w:val="both"/>
              <w:rPr>
                <w:rFonts w:ascii="Times New Roman" w:hAnsi="Times New Roman"/>
                <w:b/>
                <w:sz w:val="20"/>
                <w:szCs w:val="20"/>
              </w:rPr>
            </w:pPr>
            <w:r>
              <w:rPr>
                <w:rFonts w:ascii="Times New Roman" w:hAnsi="Times New Roman"/>
                <w:b/>
                <w:sz w:val="20"/>
                <w:szCs w:val="20"/>
              </w:rPr>
              <w:t>Next Assessment Cycle:</w:t>
            </w:r>
          </w:p>
          <w:p w14:paraId="295FC4F9" w14:textId="6523F23D" w:rsidR="00226A7C" w:rsidRPr="0054609C" w:rsidRDefault="00226A7C" w:rsidP="00825E98">
            <w:pPr>
              <w:jc w:val="both"/>
              <w:rPr>
                <w:rFonts w:ascii="Times New Roman" w:hAnsi="Times New Roman"/>
                <w:b/>
                <w:sz w:val="20"/>
                <w:szCs w:val="20"/>
              </w:rPr>
            </w:pPr>
            <w:r>
              <w:rPr>
                <w:rFonts w:ascii="Times New Roman" w:hAnsi="Times New Roman"/>
                <w:sz w:val="20"/>
              </w:rPr>
              <w:t>2024-25 academic year</w:t>
            </w:r>
          </w:p>
        </w:tc>
      </w:tr>
    </w:tbl>
    <w:p w14:paraId="4BB552C8" w14:textId="77777777" w:rsidR="00060BE5" w:rsidRDefault="00060BE5"/>
    <w:p w14:paraId="480304F5" w14:textId="77777777" w:rsidR="00825E98" w:rsidRDefault="00825E9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825E98">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825E9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226A7C" w:rsidRPr="00964DD0" w14:paraId="79E24493" w14:textId="77777777" w:rsidTr="00825E98">
        <w:trPr>
          <w:trHeight w:val="20"/>
        </w:trPr>
        <w:tc>
          <w:tcPr>
            <w:tcW w:w="2875" w:type="dxa"/>
            <w:tcBorders>
              <w:bottom w:val="single" w:sz="4" w:space="0" w:color="auto"/>
            </w:tcBorders>
            <w:shd w:val="pct5" w:color="auto" w:fill="auto"/>
            <w:tcMar>
              <w:top w:w="100" w:type="nil"/>
              <w:right w:w="100" w:type="nil"/>
            </w:tcMar>
          </w:tcPr>
          <w:p w14:paraId="5E55F73A" w14:textId="7E267A36" w:rsidR="00226A7C" w:rsidRPr="00EB65C8" w:rsidRDefault="00226A7C" w:rsidP="00825E9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DA252CB" w:rsidR="00226A7C" w:rsidRPr="003A32E4" w:rsidRDefault="00226A7C" w:rsidP="00825E98">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226A7C" w:rsidRPr="00964DD0" w14:paraId="1251223B" w14:textId="77777777" w:rsidTr="00825E9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226A7C" w:rsidRPr="005D68AF" w:rsidRDefault="00226A7C" w:rsidP="00825E9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7366A35" w14:textId="77777777" w:rsidR="00226A7C" w:rsidRDefault="00226A7C" w:rsidP="00825E98">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D952455" w14:textId="77777777" w:rsidR="00226A7C" w:rsidRDefault="00226A7C" w:rsidP="00825E98">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 Honors CE/T projects, or manuscripts – that allow for assessment of this SLO. </w:t>
            </w:r>
          </w:p>
          <w:p w14:paraId="6D9FC0BC" w14:textId="77777777" w:rsidR="00226A7C" w:rsidRDefault="00226A7C" w:rsidP="00825E98">
            <w:pPr>
              <w:widowControl w:val="0"/>
              <w:autoSpaceDE w:val="0"/>
              <w:autoSpaceDN w:val="0"/>
              <w:adjustRightInd w:val="0"/>
              <w:rPr>
                <w:rFonts w:ascii="Times New Roman" w:hAnsi="Times New Roman"/>
                <w:bCs/>
                <w:sz w:val="20"/>
                <w:szCs w:val="20"/>
              </w:rPr>
            </w:pPr>
          </w:p>
          <w:p w14:paraId="24B1E47C" w14:textId="77777777" w:rsidR="00226A7C" w:rsidRDefault="00226A7C" w:rsidP="00825E98">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57972A02" w14:textId="77777777" w:rsidR="00226A7C" w:rsidRDefault="00226A7C" w:rsidP="00825E98">
            <w:pPr>
              <w:widowControl w:val="0"/>
              <w:autoSpaceDE w:val="0"/>
              <w:autoSpaceDN w:val="0"/>
              <w:adjustRightInd w:val="0"/>
              <w:rPr>
                <w:rFonts w:ascii="Times New Roman" w:hAnsi="Times New Roman"/>
                <w:bCs/>
                <w:sz w:val="20"/>
                <w:szCs w:val="20"/>
              </w:rPr>
            </w:pPr>
          </w:p>
          <w:p w14:paraId="5D337B12" w14:textId="77777777" w:rsidR="00226A7C" w:rsidRDefault="00226A7C" w:rsidP="00825E98">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01C1E9E3" w:rsidR="00226A7C" w:rsidRPr="005D68AF" w:rsidRDefault="00226A7C" w:rsidP="00825E98">
            <w:pPr>
              <w:widowControl w:val="0"/>
              <w:autoSpaceDE w:val="0"/>
              <w:autoSpaceDN w:val="0"/>
              <w:adjustRightInd w:val="0"/>
              <w:rPr>
                <w:rFonts w:ascii="Times New Roman" w:hAnsi="Times New Roman"/>
                <w:b/>
                <w:bCs/>
                <w:sz w:val="20"/>
                <w:szCs w:val="20"/>
              </w:rPr>
            </w:pPr>
          </w:p>
        </w:tc>
      </w:tr>
      <w:tr w:rsidR="00226A7C" w:rsidRPr="00964DD0" w14:paraId="1E5DEDA6" w14:textId="77777777" w:rsidTr="00825E98">
        <w:trPr>
          <w:trHeight w:val="20"/>
        </w:trPr>
        <w:tc>
          <w:tcPr>
            <w:tcW w:w="2875" w:type="dxa"/>
            <w:tcBorders>
              <w:left w:val="single" w:sz="4" w:space="0" w:color="auto"/>
            </w:tcBorders>
            <w:shd w:val="clear" w:color="auto" w:fill="auto"/>
            <w:tcMar>
              <w:top w:w="100" w:type="nil"/>
              <w:right w:w="100" w:type="nil"/>
            </w:tcMar>
          </w:tcPr>
          <w:p w14:paraId="4D9AFD1C" w14:textId="77777777" w:rsidR="00226A7C" w:rsidRPr="001160F4" w:rsidRDefault="00226A7C" w:rsidP="00825E9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683DEB7" w14:textId="77777777" w:rsidR="00226A7C" w:rsidRDefault="00226A7C" w:rsidP="00825E98">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920E781" w14:textId="77777777" w:rsidR="00226A7C" w:rsidRPr="00F136C3" w:rsidRDefault="00226A7C" w:rsidP="00825E98">
            <w:pPr>
              <w:widowControl w:val="0"/>
              <w:autoSpaceDE w:val="0"/>
              <w:autoSpaceDN w:val="0"/>
              <w:adjustRightInd w:val="0"/>
              <w:rPr>
                <w:rFonts w:ascii="Times New Roman" w:hAnsi="Times New Roman"/>
                <w:color w:val="767171" w:themeColor="background2" w:themeShade="80"/>
                <w:sz w:val="20"/>
                <w:szCs w:val="20"/>
              </w:rPr>
            </w:pPr>
          </w:p>
        </w:tc>
      </w:tr>
      <w:tr w:rsidR="00936D04" w:rsidRPr="00964DD0" w14:paraId="15DEF03A" w14:textId="77777777" w:rsidTr="00825E9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936D04" w:rsidRDefault="00936D04" w:rsidP="00825E9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936D04" w:rsidRDefault="00936D04" w:rsidP="00825E98">
            <w:pPr>
              <w:widowControl w:val="0"/>
              <w:autoSpaceDE w:val="0"/>
              <w:autoSpaceDN w:val="0"/>
              <w:adjustRightInd w:val="0"/>
              <w:rPr>
                <w:rFonts w:ascii="Times New Roman" w:hAnsi="Times New Roman"/>
                <w:sz w:val="20"/>
                <w:szCs w:val="20"/>
              </w:rPr>
            </w:pPr>
          </w:p>
          <w:p w14:paraId="7E2C24E3" w14:textId="77777777" w:rsidR="00936D04" w:rsidRPr="00964DD0" w:rsidRDefault="00936D04" w:rsidP="00825E9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6365269" w:rsidR="00936D04" w:rsidRPr="00964DD0" w:rsidRDefault="00936D04" w:rsidP="00825E98">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936D04" w:rsidRPr="00C4455B" w:rsidRDefault="00936D04" w:rsidP="00825E9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7BEC713" w:rsidR="00936D04" w:rsidRPr="0075740F" w:rsidRDefault="00936D04" w:rsidP="00825E9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20.8</w:t>
            </w:r>
            <w:r w:rsidRPr="00EC6C49">
              <w:rPr>
                <w:rFonts w:ascii="Times New Roman" w:hAnsi="Times New Roman"/>
                <w:sz w:val="20"/>
                <w:szCs w:val="20"/>
              </w:rPr>
              <w:t xml:space="preserve">% of students attained the criterion level of success, with </w:t>
            </w:r>
            <w:r>
              <w:rPr>
                <w:rFonts w:ascii="Times New Roman" w:hAnsi="Times New Roman"/>
                <w:sz w:val="20"/>
                <w:szCs w:val="20"/>
              </w:rPr>
              <w:t>15.1</w:t>
            </w:r>
            <w:r w:rsidRPr="00EC6C49">
              <w:rPr>
                <w:rFonts w:ascii="Times New Roman" w:hAnsi="Times New Roman"/>
                <w:sz w:val="20"/>
                <w:szCs w:val="20"/>
              </w:rPr>
              <w:t xml:space="preserve">% attained the sub-criterion. The sample size was </w:t>
            </w:r>
            <w:r>
              <w:rPr>
                <w:rFonts w:ascii="Times New Roman" w:hAnsi="Times New Roman"/>
                <w:sz w:val="20"/>
                <w:szCs w:val="20"/>
              </w:rPr>
              <w:t>53</w:t>
            </w:r>
            <w:r w:rsidRPr="00EC6C49">
              <w:rPr>
                <w:rFonts w:ascii="Times New Roman" w:hAnsi="Times New Roman"/>
                <w:sz w:val="20"/>
                <w:szCs w:val="20"/>
              </w:rPr>
              <w:t>.</w:t>
            </w:r>
          </w:p>
        </w:tc>
      </w:tr>
      <w:tr w:rsidR="00226A7C" w:rsidRPr="00964DD0" w14:paraId="5AE4AC88" w14:textId="77777777" w:rsidTr="00825E9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26A7C" w:rsidRPr="00EB65C8" w:rsidRDefault="00226A7C" w:rsidP="00825E9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F8776AF" w14:textId="6420D1AE" w:rsidR="00226A7C" w:rsidRDefault="00936D04" w:rsidP="00825E98">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mean overall rating was 2.0 out of 4.0, indicating a milestone level of performance across all rubric elements. The six rubric elements are divided into three sub-scores (2 elements each) reflecting different aspects of the SLO: (1) Evidence-gathering; (2) Analysis; and (3) Argumentation. </w:t>
            </w:r>
            <w:proofErr w:type="spellStart"/>
            <w:r>
              <w:rPr>
                <w:rFonts w:ascii="Times New Roman" w:hAnsi="Times New Roman"/>
                <w:bCs/>
                <w:sz w:val="20"/>
                <w:szCs w:val="20"/>
              </w:rPr>
              <w:t>Subscores</w:t>
            </w:r>
            <w:proofErr w:type="spellEnd"/>
            <w:r>
              <w:rPr>
                <w:rFonts w:ascii="Times New Roman" w:hAnsi="Times New Roman"/>
                <w:bCs/>
                <w:sz w:val="20"/>
                <w:szCs w:val="20"/>
              </w:rPr>
              <w:t xml:space="preserve"> were highest for evidence gathering (mean </w:t>
            </w:r>
            <w:proofErr w:type="spellStart"/>
            <w:r>
              <w:rPr>
                <w:rFonts w:ascii="Times New Roman" w:hAnsi="Times New Roman"/>
                <w:bCs/>
                <w:sz w:val="20"/>
                <w:szCs w:val="20"/>
              </w:rPr>
              <w:t>subscore</w:t>
            </w:r>
            <w:proofErr w:type="spellEnd"/>
            <w:r>
              <w:rPr>
                <w:rFonts w:ascii="Times New Roman" w:hAnsi="Times New Roman"/>
                <w:bCs/>
                <w:sz w:val="20"/>
                <w:szCs w:val="20"/>
              </w:rPr>
              <w:t xml:space="preserve"> 2.2 out of 4.0), followed by analysis (2.1) and argumentation (1.6). Student performance was lowest on the rubric element associated with drawing implications from their analysis, with a mean element score of 1.5. These score trends are not surprising, and are consistent with the Bloom’s taxonomic level of the different rubric elements; however, the absolute scores are below targeted levels. Nevertheless, the percentage of students meeting the criterion and sub-criterion were improved relative to the 2020-21 assessment cycle (13.6%, 9.1%), which may reflect increased emphasis on the artifacts within process courses. Additional years of data will be required to fully evaluate this hypothesis.</w:t>
            </w:r>
          </w:p>
          <w:p w14:paraId="7269AB7C" w14:textId="77777777" w:rsidR="00226A7C" w:rsidRPr="00964DD0" w:rsidRDefault="00226A7C" w:rsidP="00825E98">
            <w:pPr>
              <w:widowControl w:val="0"/>
              <w:autoSpaceDE w:val="0"/>
              <w:autoSpaceDN w:val="0"/>
              <w:adjustRightInd w:val="0"/>
              <w:rPr>
                <w:rFonts w:ascii="Times New Roman" w:hAnsi="Times New Roman"/>
                <w:sz w:val="20"/>
                <w:szCs w:val="20"/>
              </w:rPr>
            </w:pPr>
          </w:p>
        </w:tc>
      </w:tr>
      <w:tr w:rsidR="00226A7C" w:rsidRPr="00964DD0" w14:paraId="101FBE4B" w14:textId="77777777" w:rsidTr="00825E98">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226A7C" w:rsidRDefault="00226A7C" w:rsidP="00825E9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226A7C" w:rsidRPr="003A32E4" w:rsidRDefault="00226A7C" w:rsidP="00825E9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226A7C" w:rsidRPr="003A32E4" w:rsidRDefault="00226A7C" w:rsidP="00825E9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825E98">
              <w:rPr>
                <w:rFonts w:ascii="Times New Roman" w:hAnsi="Times New Roman"/>
                <w:b/>
                <w:sz w:val="22"/>
                <w:szCs w:val="22"/>
              </w:rPr>
            </w:r>
            <w:r w:rsidR="00825E9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7B54021" w:rsidR="00226A7C" w:rsidRPr="003A32E4" w:rsidRDefault="00226A7C" w:rsidP="00825E9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825E98">
              <w:rPr>
                <w:rFonts w:ascii="Times New Roman" w:hAnsi="Times New Roman"/>
                <w:b/>
                <w:sz w:val="22"/>
                <w:szCs w:val="22"/>
              </w:rPr>
            </w:r>
            <w:r w:rsidR="00825E98">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226A7C" w:rsidRPr="00964DD0" w14:paraId="5A878A8F" w14:textId="77777777" w:rsidTr="00825E98">
        <w:trPr>
          <w:trHeight w:val="20"/>
        </w:trPr>
        <w:tc>
          <w:tcPr>
            <w:tcW w:w="14395" w:type="dxa"/>
            <w:gridSpan w:val="6"/>
            <w:shd w:val="clear" w:color="auto" w:fill="auto"/>
            <w:tcMar>
              <w:top w:w="100" w:type="nil"/>
              <w:right w:w="100" w:type="nil"/>
            </w:tcMar>
          </w:tcPr>
          <w:p w14:paraId="2CD3F5C0" w14:textId="0EDAF79C" w:rsidR="00226A7C" w:rsidRPr="0054609C" w:rsidRDefault="00226A7C" w:rsidP="00825E9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26A7C" w:rsidRPr="00964DD0" w14:paraId="2AAC8294" w14:textId="77777777" w:rsidTr="00825E98">
        <w:trPr>
          <w:trHeight w:val="20"/>
        </w:trPr>
        <w:tc>
          <w:tcPr>
            <w:tcW w:w="14395" w:type="dxa"/>
            <w:gridSpan w:val="6"/>
            <w:shd w:val="clear" w:color="auto" w:fill="auto"/>
            <w:tcMar>
              <w:top w:w="100" w:type="nil"/>
              <w:right w:w="100" w:type="nil"/>
            </w:tcMar>
          </w:tcPr>
          <w:p w14:paraId="1667FBAC" w14:textId="52A10E2C" w:rsidR="00226A7C" w:rsidRDefault="00226A7C" w:rsidP="00825E98">
            <w:pPr>
              <w:widowControl w:val="0"/>
              <w:autoSpaceDE w:val="0"/>
              <w:autoSpaceDN w:val="0"/>
              <w:adjustRightInd w:val="0"/>
              <w:rPr>
                <w:rFonts w:ascii="Times New Roman" w:hAnsi="Times New Roman"/>
                <w:bCs/>
                <w:sz w:val="20"/>
                <w:szCs w:val="20"/>
              </w:rPr>
            </w:pPr>
            <w:r>
              <w:rPr>
                <w:rFonts w:ascii="Times New Roman" w:hAnsi="Times New Roman"/>
                <w:b/>
                <w:sz w:val="20"/>
                <w:szCs w:val="20"/>
              </w:rPr>
              <w:t xml:space="preserve">Results and Conclusions: </w:t>
            </w:r>
            <w:r>
              <w:rPr>
                <w:rFonts w:ascii="Times New Roman" w:hAnsi="Times New Roman"/>
                <w:bCs/>
                <w:sz w:val="20"/>
                <w:szCs w:val="20"/>
              </w:rPr>
              <w:t xml:space="preserve"> The assessment process again revealed a very high level of variability in artifacts among science process courses from which they were drawn. This seems to indicate that faculty teaching these courses do not have a consistent set of expectations regarding what constitutes a valid capstone-level science process artifact. As a follow-up activity from the 2021-22 assessment cycle, program faculty developed and approved a set of minimum standards for the process artifact, effective Fall 2023; however, because students submit process artifacts for assessment during their last semester (drawn from process courses they took at an earlier point), there will be a time lag before we see any meaningful changes in student artifacts. Our assessment results from this cycle suggest that the next logical step would be for faculty teaching process courses to self-evaluate their assignment to ensure artifacts will address all of the approved minimum standards.</w:t>
            </w:r>
          </w:p>
          <w:p w14:paraId="0E0BB87B" w14:textId="77777777" w:rsidR="00226A7C" w:rsidRDefault="00226A7C" w:rsidP="00825E98">
            <w:pPr>
              <w:jc w:val="both"/>
              <w:rPr>
                <w:rFonts w:ascii="Times New Roman" w:hAnsi="Times New Roman"/>
                <w:b/>
                <w:sz w:val="20"/>
                <w:szCs w:val="20"/>
              </w:rPr>
            </w:pPr>
          </w:p>
          <w:p w14:paraId="164E3640" w14:textId="77777777" w:rsidR="00825E98" w:rsidRDefault="00825E98" w:rsidP="00825E98">
            <w:pPr>
              <w:jc w:val="both"/>
              <w:rPr>
                <w:rFonts w:ascii="Times New Roman" w:hAnsi="Times New Roman"/>
                <w:b/>
                <w:sz w:val="20"/>
                <w:szCs w:val="20"/>
              </w:rPr>
            </w:pPr>
          </w:p>
          <w:p w14:paraId="19B92E91" w14:textId="77777777" w:rsidR="00226A7C" w:rsidRDefault="00226A7C" w:rsidP="00825E98">
            <w:pPr>
              <w:jc w:val="both"/>
              <w:rPr>
                <w:rFonts w:ascii="Times New Roman" w:hAnsi="Times New Roman"/>
                <w:b/>
                <w:sz w:val="20"/>
                <w:szCs w:val="20"/>
              </w:rPr>
            </w:pPr>
            <w:r>
              <w:rPr>
                <w:rFonts w:ascii="Times New Roman" w:hAnsi="Times New Roman"/>
                <w:b/>
                <w:sz w:val="20"/>
                <w:szCs w:val="20"/>
              </w:rPr>
              <w:lastRenderedPageBreak/>
              <w:t>Actions:</w:t>
            </w:r>
          </w:p>
          <w:p w14:paraId="4FB01C2A" w14:textId="77777777" w:rsidR="00226A7C" w:rsidRDefault="00226A7C" w:rsidP="00825E98">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32355764" w14:textId="77777777" w:rsidR="00226A7C" w:rsidRDefault="00226A7C" w:rsidP="00825E98">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5E33E1B" w14:textId="77777777" w:rsidR="00226A7C" w:rsidRDefault="00226A7C" w:rsidP="00825E98">
            <w:pPr>
              <w:jc w:val="both"/>
              <w:rPr>
                <w:rFonts w:ascii="Times New Roman" w:hAnsi="Times New Roman"/>
                <w:b/>
                <w:sz w:val="20"/>
                <w:szCs w:val="20"/>
              </w:rPr>
            </w:pPr>
          </w:p>
          <w:p w14:paraId="3E913BC2" w14:textId="77777777" w:rsidR="00226A7C" w:rsidRDefault="00226A7C" w:rsidP="00825E98">
            <w:pPr>
              <w:jc w:val="both"/>
              <w:rPr>
                <w:rFonts w:ascii="Times New Roman" w:hAnsi="Times New Roman"/>
                <w:b/>
                <w:sz w:val="20"/>
                <w:szCs w:val="20"/>
              </w:rPr>
            </w:pPr>
            <w:r>
              <w:rPr>
                <w:rFonts w:ascii="Times New Roman" w:hAnsi="Times New Roman"/>
                <w:b/>
                <w:sz w:val="20"/>
                <w:szCs w:val="20"/>
              </w:rPr>
              <w:t>Follow-Up:</w:t>
            </w:r>
          </w:p>
          <w:p w14:paraId="7BE445CC" w14:textId="77777777" w:rsidR="00226A7C" w:rsidRDefault="00226A7C" w:rsidP="00825E98">
            <w:pPr>
              <w:rPr>
                <w:rFonts w:ascii="Times New Roman" w:hAnsi="Times New Roman"/>
                <w:bCs/>
                <w:sz w:val="20"/>
                <w:szCs w:val="20"/>
              </w:rPr>
            </w:pPr>
            <w:r w:rsidRPr="004148A3">
              <w:rPr>
                <w:rFonts w:ascii="Times New Roman" w:hAnsi="Times New Roman"/>
                <w:bCs/>
                <w:sz w:val="20"/>
                <w:szCs w:val="20"/>
              </w:rPr>
              <w:t xml:space="preserve">1. </w:t>
            </w:r>
            <w:r>
              <w:rPr>
                <w:rFonts w:ascii="Times New Roman" w:hAnsi="Times New Roman"/>
                <w:bCs/>
                <w:sz w:val="20"/>
                <w:szCs w:val="20"/>
              </w:rPr>
              <w:t>The department will e</w:t>
            </w:r>
            <w:r w:rsidRPr="004148A3">
              <w:rPr>
                <w:rFonts w:ascii="Times New Roman" w:hAnsi="Times New Roman"/>
                <w:bCs/>
                <w:sz w:val="20"/>
                <w:szCs w:val="20"/>
              </w:rPr>
              <w:t>stablish a framework and process within the department for faculty teaching process courses to self-evaluate and (as needed) correct their process course artifact assignments to meet established standards. (Fall 2024)</w:t>
            </w:r>
          </w:p>
          <w:p w14:paraId="63649F40" w14:textId="77777777" w:rsidR="00226A7C" w:rsidRDefault="00226A7C" w:rsidP="00825E98">
            <w:pPr>
              <w:jc w:val="both"/>
              <w:rPr>
                <w:rFonts w:ascii="Times New Roman" w:hAnsi="Times New Roman"/>
                <w:b/>
                <w:sz w:val="20"/>
                <w:szCs w:val="20"/>
              </w:rPr>
            </w:pPr>
          </w:p>
          <w:p w14:paraId="0CB0728A" w14:textId="77777777" w:rsidR="00226A7C" w:rsidRDefault="00226A7C" w:rsidP="00825E98">
            <w:pPr>
              <w:jc w:val="both"/>
              <w:rPr>
                <w:rFonts w:ascii="Times New Roman" w:hAnsi="Times New Roman"/>
                <w:b/>
                <w:sz w:val="20"/>
                <w:szCs w:val="20"/>
              </w:rPr>
            </w:pPr>
            <w:r>
              <w:rPr>
                <w:rFonts w:ascii="Times New Roman" w:hAnsi="Times New Roman"/>
                <w:b/>
                <w:sz w:val="20"/>
                <w:szCs w:val="20"/>
              </w:rPr>
              <w:t>Next Assessment Cycle:</w:t>
            </w:r>
          </w:p>
          <w:p w14:paraId="081AF02D" w14:textId="77777777" w:rsidR="00226A7C" w:rsidRPr="002E23CD" w:rsidRDefault="00226A7C" w:rsidP="00825E98">
            <w:pPr>
              <w:jc w:val="both"/>
              <w:rPr>
                <w:rFonts w:ascii="Times New Roman" w:hAnsi="Times New Roman"/>
                <w:sz w:val="20"/>
              </w:rPr>
            </w:pPr>
            <w:r>
              <w:rPr>
                <w:rFonts w:ascii="Times New Roman" w:hAnsi="Times New Roman"/>
                <w:sz w:val="20"/>
              </w:rPr>
              <w:t>2024-25 academic year</w:t>
            </w:r>
          </w:p>
          <w:p w14:paraId="1CDB788D" w14:textId="6A26A9A6" w:rsidR="00226A7C" w:rsidRPr="0054609C" w:rsidRDefault="00226A7C" w:rsidP="00825E98">
            <w:pPr>
              <w:jc w:val="both"/>
              <w:rPr>
                <w:rFonts w:ascii="Times New Roman" w:hAnsi="Times New Roman"/>
                <w:b/>
                <w:sz w:val="20"/>
                <w:szCs w:val="20"/>
              </w:rPr>
            </w:pPr>
          </w:p>
        </w:tc>
      </w:tr>
    </w:tbl>
    <w:p w14:paraId="0EEA9A3C" w14:textId="592B993B" w:rsidR="003A32E4" w:rsidRDefault="003A32E4"/>
    <w:p w14:paraId="5852F081" w14:textId="77777777" w:rsidR="00226A7C" w:rsidRDefault="00226A7C" w:rsidP="00226A7C">
      <w:r>
        <w:br w:type="page"/>
      </w:r>
    </w:p>
    <w:p w14:paraId="00E1612E" w14:textId="77777777" w:rsidR="00226A7C" w:rsidRDefault="00226A7C" w:rsidP="00226A7C">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22FB74A5" wp14:editId="23B6A606">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159CCCB" w14:textId="77777777" w:rsidR="00226A7C" w:rsidRPr="00776FD3" w:rsidRDefault="00226A7C" w:rsidP="00226A7C">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4D127298" w14:textId="77777777" w:rsidR="00226A7C" w:rsidRDefault="00226A7C" w:rsidP="00226A7C">
      <w:pPr>
        <w:contextualSpacing/>
        <w:rPr>
          <w:rFonts w:asciiTheme="majorHAnsi" w:hAnsiTheme="majorHAnsi" w:cstheme="majorHAnsi"/>
          <w:b/>
          <w:bCs/>
          <w:sz w:val="20"/>
          <w:szCs w:val="20"/>
        </w:rPr>
      </w:pPr>
    </w:p>
    <w:p w14:paraId="57C31745" w14:textId="77777777" w:rsidR="00226A7C" w:rsidRDefault="00226A7C" w:rsidP="00226A7C">
      <w:pPr>
        <w:contextualSpacing/>
        <w:rPr>
          <w:rFonts w:asciiTheme="majorHAnsi" w:hAnsiTheme="majorHAnsi" w:cstheme="majorHAnsi"/>
          <w:b/>
          <w:bCs/>
          <w:sz w:val="20"/>
          <w:szCs w:val="20"/>
        </w:rPr>
      </w:pPr>
    </w:p>
    <w:p w14:paraId="72609B0A" w14:textId="77777777" w:rsidR="00226A7C" w:rsidRPr="00776FD3" w:rsidRDefault="00226A7C" w:rsidP="00226A7C">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7F28BAD3" w14:textId="77777777" w:rsidR="00226A7C" w:rsidRDefault="00226A7C" w:rsidP="00226A7C">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58943BF1" w14:textId="77777777" w:rsidR="00226A7C" w:rsidRDefault="00226A7C" w:rsidP="00226A7C">
      <w:pPr>
        <w:ind w:left="55"/>
        <w:contextualSpacing/>
        <w:jc w:val="center"/>
        <w:rPr>
          <w:rFonts w:asciiTheme="majorHAnsi" w:hAnsiTheme="majorHAnsi" w:cstheme="majorHAnsi"/>
          <w:sz w:val="20"/>
          <w:szCs w:val="20"/>
        </w:rPr>
      </w:pPr>
    </w:p>
    <w:p w14:paraId="49CC802A" w14:textId="77777777" w:rsidR="00226A7C" w:rsidRPr="00B43B4B" w:rsidRDefault="00226A7C" w:rsidP="00226A7C">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455DAF83" w14:textId="77777777" w:rsidR="00226A7C" w:rsidRPr="00B43B4B" w:rsidRDefault="00226A7C" w:rsidP="00226A7C">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226A7C" w:rsidRPr="00776FD3" w14:paraId="3EFF4E6A" w14:textId="77777777" w:rsidTr="001D3469">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230FC7" w14:textId="77777777" w:rsidR="00226A7C" w:rsidRPr="007F25CD" w:rsidRDefault="00226A7C" w:rsidP="001D3469">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A21214D" w14:textId="77777777" w:rsidR="00226A7C" w:rsidRDefault="00226A7C" w:rsidP="001D3469">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64078945" w14:textId="77777777" w:rsidR="00226A7C" w:rsidRPr="007F25CD" w:rsidRDefault="00226A7C" w:rsidP="001D3469">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02A177A" w14:textId="77777777" w:rsidR="00226A7C" w:rsidRPr="007F25CD" w:rsidRDefault="00226A7C" w:rsidP="001D3469">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39D35D04" w14:textId="77777777" w:rsidR="00226A7C" w:rsidRPr="007F25CD" w:rsidRDefault="00226A7C" w:rsidP="001D3469">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CA4370B" w14:textId="77777777" w:rsidR="00226A7C" w:rsidRDefault="00226A7C" w:rsidP="001D3469">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2E0A3F9" w14:textId="77777777" w:rsidR="00226A7C" w:rsidRPr="007F25CD" w:rsidRDefault="00226A7C" w:rsidP="001D3469">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226A7C" w:rsidRPr="00776FD3" w14:paraId="45E021BF" w14:textId="77777777" w:rsidTr="001D3469">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637012DF"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5D90D119" w14:textId="77777777" w:rsidR="00226A7C" w:rsidRPr="00516126" w:rsidRDefault="00226A7C" w:rsidP="001D3469">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17B28EFD" w14:textId="77777777" w:rsidR="00226A7C" w:rsidRPr="00516126" w:rsidRDefault="00226A7C" w:rsidP="001D3469">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382450C2" w14:textId="77777777" w:rsidR="00226A7C" w:rsidRPr="00516126" w:rsidRDefault="00226A7C" w:rsidP="001D3469">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43AFBF0" w14:textId="77777777" w:rsidR="00226A7C" w:rsidRPr="00516126" w:rsidRDefault="00226A7C" w:rsidP="001D3469">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226A7C" w:rsidRPr="00776FD3" w14:paraId="70D57E6F" w14:textId="77777777" w:rsidTr="001D3469">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27B6405" w14:textId="77777777" w:rsidR="00226A7C" w:rsidRPr="007F25CD" w:rsidRDefault="00226A7C" w:rsidP="001D3469">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2B8E02C"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97CAEFB" w14:textId="77777777" w:rsidR="00226A7C" w:rsidRPr="00516126" w:rsidRDefault="00226A7C" w:rsidP="001D3469">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F51B977" w14:textId="77777777" w:rsidR="00226A7C" w:rsidRPr="00516126" w:rsidRDefault="00226A7C" w:rsidP="001D3469">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44BB63" w14:textId="77777777" w:rsidR="00226A7C" w:rsidRPr="00516126" w:rsidRDefault="00226A7C" w:rsidP="001D3469">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226A7C" w:rsidRPr="00776FD3" w14:paraId="44FA5660" w14:textId="77777777" w:rsidTr="001D3469">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49604E60"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0EABA201" w14:textId="77777777" w:rsidR="00226A7C" w:rsidRPr="00516126" w:rsidRDefault="00226A7C" w:rsidP="001D3469">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6972ADC5" w14:textId="77777777" w:rsidR="00226A7C" w:rsidRPr="00516126" w:rsidRDefault="00226A7C" w:rsidP="001D3469">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6F813B40"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4BCAFA8A" w14:textId="77777777" w:rsidR="00226A7C" w:rsidRPr="00516126" w:rsidRDefault="00226A7C" w:rsidP="001D3469">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226A7C" w:rsidRPr="00776FD3" w14:paraId="67DBFA05" w14:textId="77777777" w:rsidTr="001D3469">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2D07D56" w14:textId="77777777" w:rsidR="00226A7C" w:rsidRPr="007F25CD" w:rsidRDefault="00226A7C" w:rsidP="001D3469">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3652BA1" w14:textId="77777777" w:rsidR="00226A7C" w:rsidRPr="00516126" w:rsidRDefault="00226A7C" w:rsidP="001D3469">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B477BBA" w14:textId="77777777" w:rsidR="00226A7C" w:rsidRPr="00516126" w:rsidRDefault="00226A7C" w:rsidP="001D3469">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0629047" w14:textId="77777777" w:rsidR="00226A7C" w:rsidRPr="00516126" w:rsidRDefault="00226A7C" w:rsidP="001D3469">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0459117"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226A7C" w:rsidRPr="00776FD3" w14:paraId="5E9DD7C1" w14:textId="77777777" w:rsidTr="001D3469">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7D1371CC"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6E019319"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4D7506D0" w14:textId="77777777" w:rsidR="00226A7C" w:rsidRPr="00516126" w:rsidRDefault="00226A7C" w:rsidP="001D3469">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1D934696"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607A6FC"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226A7C" w:rsidRPr="00776FD3" w14:paraId="6FB1CC71" w14:textId="77777777" w:rsidTr="001D3469">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86AE885"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8671540"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5A71768"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639E4D9"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D1A2B" w14:textId="77777777" w:rsidR="00226A7C" w:rsidRPr="00516126" w:rsidRDefault="00226A7C" w:rsidP="001D3469">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12FD0FC0" w14:textId="39500091" w:rsidR="00936D04" w:rsidRDefault="00936D04" w:rsidP="00226A7C">
      <w:pPr>
        <w:rPr>
          <w:rFonts w:asciiTheme="majorHAnsi" w:hAnsiTheme="majorHAnsi" w:cstheme="majorHAnsi"/>
          <w:sz w:val="20"/>
          <w:szCs w:val="20"/>
        </w:rPr>
      </w:pPr>
    </w:p>
    <w:p w14:paraId="4D329543" w14:textId="77777777" w:rsidR="00936D04" w:rsidRDefault="00936D04">
      <w:pPr>
        <w:rPr>
          <w:rFonts w:asciiTheme="majorHAnsi" w:hAnsiTheme="majorHAnsi" w:cstheme="majorHAnsi"/>
          <w:sz w:val="20"/>
          <w:szCs w:val="20"/>
        </w:rPr>
      </w:pPr>
      <w:r>
        <w:rPr>
          <w:rFonts w:asciiTheme="majorHAnsi" w:hAnsiTheme="majorHAnsi" w:cstheme="majorHAnsi"/>
          <w:sz w:val="20"/>
          <w:szCs w:val="20"/>
        </w:rPr>
        <w:br w:type="page"/>
      </w:r>
    </w:p>
    <w:p w14:paraId="7B81B029" w14:textId="77777777" w:rsidR="00226A7C" w:rsidRPr="00EF1FE0" w:rsidRDefault="00226A7C" w:rsidP="00226A7C">
      <w:pPr>
        <w:rPr>
          <w:rFonts w:asciiTheme="majorHAnsi" w:hAnsiTheme="majorHAnsi" w:cstheme="majorHAnsi"/>
          <w:sz w:val="20"/>
          <w:szCs w:val="20"/>
        </w:rPr>
      </w:pPr>
    </w:p>
    <w:tbl>
      <w:tblPr>
        <w:tblW w:w="13320" w:type="dxa"/>
        <w:tblLook w:val="04A0" w:firstRow="1" w:lastRow="0" w:firstColumn="1" w:lastColumn="0" w:noHBand="0" w:noVBand="1"/>
      </w:tblPr>
      <w:tblGrid>
        <w:gridCol w:w="1478"/>
        <w:gridCol w:w="1225"/>
        <w:gridCol w:w="3697"/>
        <w:gridCol w:w="2360"/>
        <w:gridCol w:w="2360"/>
        <w:gridCol w:w="2200"/>
      </w:tblGrid>
      <w:tr w:rsidR="00936D04" w:rsidRPr="00D031DB" w14:paraId="6CB2E932" w14:textId="77777777" w:rsidTr="00825E98">
        <w:trPr>
          <w:trHeight w:val="20"/>
        </w:trPr>
        <w:tc>
          <w:tcPr>
            <w:tcW w:w="6400" w:type="dxa"/>
            <w:gridSpan w:val="3"/>
            <w:tcBorders>
              <w:top w:val="nil"/>
              <w:left w:val="single" w:sz="4" w:space="0" w:color="auto"/>
              <w:bottom w:val="nil"/>
              <w:right w:val="nil"/>
            </w:tcBorders>
            <w:shd w:val="clear" w:color="auto" w:fill="auto"/>
            <w:noWrap/>
            <w:vAlign w:val="bottom"/>
            <w:hideMark/>
          </w:tcPr>
          <w:p w14:paraId="4677FE99" w14:textId="77777777" w:rsidR="00936D04" w:rsidRPr="00D031DB" w:rsidRDefault="00936D04" w:rsidP="000C668E">
            <w:pPr>
              <w:rPr>
                <w:rFonts w:cs="Calibri"/>
                <w:b/>
                <w:bCs/>
                <w:color w:val="000000"/>
                <w:sz w:val="28"/>
                <w:szCs w:val="28"/>
              </w:rPr>
            </w:pPr>
            <w:r w:rsidRPr="00D031DB">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046EFF90" w14:textId="77777777" w:rsidR="00936D04" w:rsidRPr="00D031DB" w:rsidRDefault="00936D04" w:rsidP="000C668E">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314EF1D5"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CA04CE6" w14:textId="77777777" w:rsidR="00936D04" w:rsidRPr="00D031DB" w:rsidRDefault="00936D04" w:rsidP="000C668E">
            <w:pPr>
              <w:rPr>
                <w:rFonts w:ascii="Times New Roman" w:hAnsi="Times New Roman"/>
                <w:sz w:val="20"/>
                <w:szCs w:val="20"/>
              </w:rPr>
            </w:pPr>
          </w:p>
        </w:tc>
      </w:tr>
      <w:tr w:rsidR="00936D04" w:rsidRPr="00D031DB" w14:paraId="6F04EDB3" w14:textId="77777777" w:rsidTr="00825E98">
        <w:trPr>
          <w:trHeight w:val="20"/>
        </w:trPr>
        <w:tc>
          <w:tcPr>
            <w:tcW w:w="1478" w:type="dxa"/>
            <w:tcBorders>
              <w:top w:val="nil"/>
              <w:left w:val="single" w:sz="4" w:space="0" w:color="auto"/>
              <w:bottom w:val="nil"/>
              <w:right w:val="nil"/>
            </w:tcBorders>
            <w:shd w:val="clear" w:color="auto" w:fill="auto"/>
            <w:noWrap/>
            <w:vAlign w:val="bottom"/>
            <w:hideMark/>
          </w:tcPr>
          <w:p w14:paraId="26A9149B" w14:textId="77777777" w:rsidR="00936D04" w:rsidRPr="00D031DB" w:rsidRDefault="00936D04" w:rsidP="000C668E">
            <w:pPr>
              <w:rPr>
                <w:rFonts w:cs="Calibri"/>
                <w:b/>
                <w:bCs/>
                <w:color w:val="000000"/>
                <w:sz w:val="28"/>
                <w:szCs w:val="28"/>
              </w:rPr>
            </w:pPr>
            <w:r w:rsidRPr="00D031DB">
              <w:rPr>
                <w:rFonts w:cs="Calibri"/>
                <w:b/>
                <w:bCs/>
                <w:color w:val="000000"/>
                <w:sz w:val="28"/>
                <w:szCs w:val="28"/>
              </w:rPr>
              <w:t> </w:t>
            </w:r>
          </w:p>
        </w:tc>
        <w:tc>
          <w:tcPr>
            <w:tcW w:w="1225" w:type="dxa"/>
            <w:tcBorders>
              <w:top w:val="nil"/>
              <w:left w:val="nil"/>
              <w:bottom w:val="nil"/>
              <w:right w:val="nil"/>
            </w:tcBorders>
            <w:shd w:val="clear" w:color="auto" w:fill="auto"/>
            <w:noWrap/>
            <w:vAlign w:val="bottom"/>
            <w:hideMark/>
          </w:tcPr>
          <w:p w14:paraId="3F885873" w14:textId="77777777" w:rsidR="00936D04" w:rsidRPr="00D031DB" w:rsidRDefault="00936D04" w:rsidP="000C668E">
            <w:pPr>
              <w:rPr>
                <w:rFonts w:cs="Calibri"/>
                <w:b/>
                <w:bCs/>
                <w:color w:val="000000"/>
                <w:sz w:val="28"/>
                <w:szCs w:val="28"/>
              </w:rPr>
            </w:pPr>
          </w:p>
        </w:tc>
        <w:tc>
          <w:tcPr>
            <w:tcW w:w="3697" w:type="dxa"/>
            <w:tcBorders>
              <w:top w:val="nil"/>
              <w:left w:val="nil"/>
              <w:bottom w:val="nil"/>
              <w:right w:val="nil"/>
            </w:tcBorders>
            <w:shd w:val="clear" w:color="auto" w:fill="auto"/>
            <w:noWrap/>
            <w:vAlign w:val="bottom"/>
            <w:hideMark/>
          </w:tcPr>
          <w:p w14:paraId="6CB5FAF5"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C697846"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537E53B"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C61CD12" w14:textId="77777777" w:rsidR="00936D04" w:rsidRPr="00D031DB" w:rsidRDefault="00936D04" w:rsidP="000C668E">
            <w:pPr>
              <w:rPr>
                <w:rFonts w:ascii="Times New Roman" w:hAnsi="Times New Roman"/>
                <w:sz w:val="20"/>
                <w:szCs w:val="20"/>
              </w:rPr>
            </w:pPr>
          </w:p>
        </w:tc>
      </w:tr>
      <w:tr w:rsidR="00936D04" w:rsidRPr="00D031DB" w14:paraId="4646F584" w14:textId="77777777" w:rsidTr="00825E98">
        <w:trPr>
          <w:trHeight w:val="2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B1FD4C7" w14:textId="77777777" w:rsidR="00936D04" w:rsidRPr="00D031DB" w:rsidRDefault="00936D04" w:rsidP="000C668E">
            <w:pPr>
              <w:rPr>
                <w:rFonts w:cs="Calibri"/>
                <w:b/>
                <w:bCs/>
                <w:color w:val="000000"/>
                <w:sz w:val="22"/>
                <w:szCs w:val="22"/>
              </w:rPr>
            </w:pPr>
            <w:r w:rsidRPr="00D031DB">
              <w:rPr>
                <w:rFonts w:cs="Calibri"/>
                <w:b/>
                <w:bCs/>
                <w:color w:val="000000"/>
                <w:sz w:val="22"/>
                <w:szCs w:val="22"/>
              </w:rPr>
              <w:t>Program name: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F32ADBB" w14:textId="77777777" w:rsidR="00936D04" w:rsidRPr="00D031DB" w:rsidRDefault="00936D04" w:rsidP="000C668E">
            <w:pPr>
              <w:rPr>
                <w:rFonts w:cs="Calibri"/>
                <w:color w:val="000000"/>
                <w:sz w:val="22"/>
                <w:szCs w:val="22"/>
              </w:rPr>
            </w:pPr>
            <w:r w:rsidRPr="00D031DB">
              <w:rPr>
                <w:rFonts w:cs="Calibri"/>
                <w:color w:val="000000"/>
                <w:sz w:val="22"/>
                <w:szCs w:val="22"/>
              </w:rPr>
              <w:t>617 Biology</w:t>
            </w:r>
          </w:p>
        </w:tc>
        <w:tc>
          <w:tcPr>
            <w:tcW w:w="2360" w:type="dxa"/>
            <w:tcBorders>
              <w:top w:val="nil"/>
              <w:left w:val="nil"/>
              <w:bottom w:val="nil"/>
              <w:right w:val="nil"/>
            </w:tcBorders>
            <w:shd w:val="clear" w:color="auto" w:fill="auto"/>
            <w:noWrap/>
            <w:vAlign w:val="bottom"/>
            <w:hideMark/>
          </w:tcPr>
          <w:p w14:paraId="563FDE29" w14:textId="77777777" w:rsidR="00936D04" w:rsidRPr="00D031DB" w:rsidRDefault="00936D04" w:rsidP="000C668E">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B3AB537" w14:textId="77777777" w:rsidR="00936D04" w:rsidRPr="00D031DB" w:rsidRDefault="00936D04" w:rsidP="000C668E">
            <w:pPr>
              <w:rPr>
                <w:rFonts w:ascii="Times New Roman" w:hAnsi="Times New Roman"/>
                <w:sz w:val="20"/>
                <w:szCs w:val="20"/>
              </w:rPr>
            </w:pPr>
          </w:p>
        </w:tc>
      </w:tr>
      <w:tr w:rsidR="00936D04" w:rsidRPr="00D031DB" w14:paraId="0328AF54"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B45B095" w14:textId="77777777" w:rsidR="00936D04" w:rsidRPr="00D031DB" w:rsidRDefault="00936D04" w:rsidP="000C668E">
            <w:pPr>
              <w:rPr>
                <w:rFonts w:cs="Calibri"/>
                <w:b/>
                <w:bCs/>
                <w:color w:val="000000"/>
                <w:sz w:val="22"/>
                <w:szCs w:val="22"/>
              </w:rPr>
            </w:pPr>
            <w:r w:rsidRPr="00D031DB">
              <w:rPr>
                <w:rFonts w:cs="Calibri"/>
                <w:b/>
                <w:bCs/>
                <w:color w:val="000000"/>
                <w:sz w:val="22"/>
                <w:szCs w:val="22"/>
              </w:rPr>
              <w:t>Department:</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93FFA0" w14:textId="77777777" w:rsidR="00936D04" w:rsidRPr="00D031DB" w:rsidRDefault="00936D04" w:rsidP="000C668E">
            <w:pPr>
              <w:rPr>
                <w:rFonts w:cs="Calibri"/>
                <w:color w:val="000000"/>
                <w:sz w:val="22"/>
                <w:szCs w:val="22"/>
              </w:rPr>
            </w:pPr>
            <w:r w:rsidRPr="00D031DB">
              <w:rPr>
                <w:rFonts w:cs="Calibri"/>
                <w:color w:val="000000"/>
                <w:sz w:val="22"/>
                <w:szCs w:val="22"/>
              </w:rPr>
              <w:t>Biology</w:t>
            </w:r>
          </w:p>
        </w:tc>
        <w:tc>
          <w:tcPr>
            <w:tcW w:w="2360" w:type="dxa"/>
            <w:tcBorders>
              <w:top w:val="nil"/>
              <w:left w:val="nil"/>
              <w:bottom w:val="nil"/>
              <w:right w:val="nil"/>
            </w:tcBorders>
            <w:shd w:val="clear" w:color="auto" w:fill="auto"/>
            <w:noWrap/>
            <w:vAlign w:val="bottom"/>
            <w:hideMark/>
          </w:tcPr>
          <w:p w14:paraId="67C25924" w14:textId="77777777" w:rsidR="00936D04" w:rsidRPr="00D031DB" w:rsidRDefault="00936D04" w:rsidP="000C668E">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5E2A6E0" w14:textId="77777777" w:rsidR="00936D04" w:rsidRPr="00D031DB" w:rsidRDefault="00936D04" w:rsidP="000C668E">
            <w:pPr>
              <w:rPr>
                <w:rFonts w:ascii="Times New Roman" w:hAnsi="Times New Roman"/>
                <w:sz w:val="20"/>
                <w:szCs w:val="20"/>
              </w:rPr>
            </w:pPr>
          </w:p>
        </w:tc>
      </w:tr>
      <w:tr w:rsidR="00936D04" w:rsidRPr="00D031DB" w14:paraId="762C4DB4"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ADAD5B9" w14:textId="77777777" w:rsidR="00936D04" w:rsidRPr="00D031DB" w:rsidRDefault="00936D04" w:rsidP="000C668E">
            <w:pPr>
              <w:rPr>
                <w:rFonts w:cs="Calibri"/>
                <w:b/>
                <w:bCs/>
                <w:color w:val="000000"/>
                <w:sz w:val="22"/>
                <w:szCs w:val="22"/>
              </w:rPr>
            </w:pPr>
            <w:r w:rsidRPr="00D031DB">
              <w:rPr>
                <w:rFonts w:cs="Calibri"/>
                <w:b/>
                <w:bCs/>
                <w:color w:val="000000"/>
                <w:sz w:val="22"/>
                <w:szCs w:val="22"/>
              </w:rPr>
              <w:t>College: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45FA7E" w14:textId="77777777" w:rsidR="00936D04" w:rsidRPr="00D031DB" w:rsidRDefault="00936D04" w:rsidP="000C668E">
            <w:pPr>
              <w:rPr>
                <w:rFonts w:cs="Calibri"/>
                <w:color w:val="000000"/>
                <w:sz w:val="22"/>
                <w:szCs w:val="22"/>
              </w:rPr>
            </w:pPr>
            <w:r w:rsidRPr="00D031DB">
              <w:rPr>
                <w:rFonts w:cs="Calibri"/>
                <w:color w:val="000000"/>
                <w:sz w:val="22"/>
                <w:szCs w:val="22"/>
              </w:rPr>
              <w:t>Ogden</w:t>
            </w:r>
          </w:p>
        </w:tc>
        <w:tc>
          <w:tcPr>
            <w:tcW w:w="2360" w:type="dxa"/>
            <w:tcBorders>
              <w:top w:val="nil"/>
              <w:left w:val="nil"/>
              <w:bottom w:val="nil"/>
              <w:right w:val="nil"/>
            </w:tcBorders>
            <w:shd w:val="clear" w:color="auto" w:fill="auto"/>
            <w:noWrap/>
            <w:vAlign w:val="bottom"/>
            <w:hideMark/>
          </w:tcPr>
          <w:p w14:paraId="3FA78DEA" w14:textId="77777777" w:rsidR="00936D04" w:rsidRPr="00D031DB" w:rsidRDefault="00936D04" w:rsidP="000C668E">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9FC1131" w14:textId="77777777" w:rsidR="00936D04" w:rsidRPr="00D031DB" w:rsidRDefault="00936D04" w:rsidP="000C668E">
            <w:pPr>
              <w:rPr>
                <w:rFonts w:ascii="Times New Roman" w:hAnsi="Times New Roman"/>
                <w:sz w:val="20"/>
                <w:szCs w:val="20"/>
              </w:rPr>
            </w:pPr>
          </w:p>
        </w:tc>
      </w:tr>
      <w:tr w:rsidR="00936D04" w:rsidRPr="00D031DB" w14:paraId="6720F1FA"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CADE87B" w14:textId="77777777" w:rsidR="00936D04" w:rsidRPr="00D031DB" w:rsidRDefault="00936D04" w:rsidP="000C668E">
            <w:pPr>
              <w:rPr>
                <w:rFonts w:cs="Calibri"/>
                <w:b/>
                <w:bCs/>
                <w:color w:val="000000"/>
                <w:sz w:val="22"/>
                <w:szCs w:val="22"/>
              </w:rPr>
            </w:pPr>
            <w:r w:rsidRPr="00D031DB">
              <w:rPr>
                <w:rFonts w:cs="Calibri"/>
                <w:b/>
                <w:bCs/>
                <w:color w:val="000000"/>
                <w:sz w:val="22"/>
                <w:szCs w:val="22"/>
              </w:rPr>
              <w:t>Contact person:</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BC7459" w14:textId="77777777" w:rsidR="00936D04" w:rsidRPr="00D031DB" w:rsidRDefault="00936D04" w:rsidP="000C668E">
            <w:pPr>
              <w:rPr>
                <w:rFonts w:cs="Calibri"/>
                <w:color w:val="000000"/>
                <w:sz w:val="22"/>
                <w:szCs w:val="22"/>
              </w:rPr>
            </w:pPr>
            <w:r w:rsidRPr="00D031DB">
              <w:rPr>
                <w:rFonts w:cs="Calibri"/>
                <w:color w:val="000000"/>
                <w:sz w:val="22"/>
                <w:szCs w:val="22"/>
              </w:rPr>
              <w:t>Michael Smith</w:t>
            </w:r>
          </w:p>
        </w:tc>
        <w:tc>
          <w:tcPr>
            <w:tcW w:w="2360" w:type="dxa"/>
            <w:tcBorders>
              <w:top w:val="nil"/>
              <w:left w:val="nil"/>
              <w:bottom w:val="nil"/>
              <w:right w:val="nil"/>
            </w:tcBorders>
            <w:shd w:val="clear" w:color="auto" w:fill="auto"/>
            <w:noWrap/>
            <w:vAlign w:val="bottom"/>
            <w:hideMark/>
          </w:tcPr>
          <w:p w14:paraId="16C866FB" w14:textId="77777777" w:rsidR="00936D04" w:rsidRPr="00D031DB" w:rsidRDefault="00936D04" w:rsidP="000C668E">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1236D33" w14:textId="77777777" w:rsidR="00936D04" w:rsidRPr="00D031DB" w:rsidRDefault="00936D04" w:rsidP="000C668E">
            <w:pPr>
              <w:rPr>
                <w:rFonts w:ascii="Times New Roman" w:hAnsi="Times New Roman"/>
                <w:sz w:val="20"/>
                <w:szCs w:val="20"/>
              </w:rPr>
            </w:pPr>
          </w:p>
        </w:tc>
      </w:tr>
      <w:tr w:rsidR="00936D04" w:rsidRPr="00D031DB" w14:paraId="214408A6"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5EFE35A" w14:textId="77777777" w:rsidR="00936D04" w:rsidRPr="00D031DB" w:rsidRDefault="00936D04" w:rsidP="000C668E">
            <w:pPr>
              <w:rPr>
                <w:rFonts w:cs="Calibri"/>
                <w:b/>
                <w:bCs/>
                <w:color w:val="000000"/>
                <w:sz w:val="22"/>
                <w:szCs w:val="22"/>
              </w:rPr>
            </w:pPr>
            <w:r w:rsidRPr="00D031DB">
              <w:rPr>
                <w:rFonts w:cs="Calibri"/>
                <w:b/>
                <w:bCs/>
                <w:color w:val="000000"/>
                <w:sz w:val="22"/>
                <w:szCs w:val="22"/>
              </w:rPr>
              <w:t>Email:</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F1E43E" w14:textId="77777777" w:rsidR="00936D04" w:rsidRPr="00D031DB" w:rsidRDefault="00825E98" w:rsidP="000C668E">
            <w:pPr>
              <w:rPr>
                <w:rFonts w:cs="Calibri"/>
                <w:color w:val="0000FF"/>
                <w:sz w:val="22"/>
                <w:szCs w:val="22"/>
                <w:u w:val="single"/>
              </w:rPr>
            </w:pPr>
            <w:hyperlink r:id="rId7" w:history="1">
              <w:r w:rsidR="00936D04" w:rsidRPr="00D031DB">
                <w:rPr>
                  <w:rFonts w:cs="Calibri"/>
                  <w:color w:val="0000FF"/>
                  <w:sz w:val="22"/>
                  <w:szCs w:val="22"/>
                  <w:u w:val="single"/>
                </w:rPr>
                <w:t>michael.smith1@wku.edu</w:t>
              </w:r>
            </w:hyperlink>
          </w:p>
        </w:tc>
        <w:tc>
          <w:tcPr>
            <w:tcW w:w="2360" w:type="dxa"/>
            <w:tcBorders>
              <w:top w:val="nil"/>
              <w:left w:val="nil"/>
              <w:bottom w:val="nil"/>
              <w:right w:val="nil"/>
            </w:tcBorders>
            <w:shd w:val="clear" w:color="auto" w:fill="auto"/>
            <w:noWrap/>
            <w:vAlign w:val="bottom"/>
            <w:hideMark/>
          </w:tcPr>
          <w:p w14:paraId="70CDCB67" w14:textId="77777777" w:rsidR="00936D04" w:rsidRPr="00D031DB" w:rsidRDefault="00936D04" w:rsidP="000C668E">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2201270E" w14:textId="77777777" w:rsidR="00936D04" w:rsidRPr="00D031DB" w:rsidRDefault="00936D04" w:rsidP="000C668E">
            <w:pPr>
              <w:rPr>
                <w:rFonts w:ascii="Times New Roman" w:hAnsi="Times New Roman"/>
                <w:sz w:val="20"/>
                <w:szCs w:val="20"/>
              </w:rPr>
            </w:pPr>
          </w:p>
        </w:tc>
      </w:tr>
      <w:tr w:rsidR="00936D04" w:rsidRPr="00D031DB" w14:paraId="3FDEEEB0" w14:textId="77777777" w:rsidTr="00825E98">
        <w:trPr>
          <w:trHeight w:val="20"/>
        </w:trPr>
        <w:tc>
          <w:tcPr>
            <w:tcW w:w="1478" w:type="dxa"/>
            <w:tcBorders>
              <w:top w:val="nil"/>
              <w:left w:val="single" w:sz="4" w:space="0" w:color="auto"/>
              <w:bottom w:val="nil"/>
              <w:right w:val="nil"/>
            </w:tcBorders>
            <w:shd w:val="clear" w:color="auto" w:fill="auto"/>
            <w:noWrap/>
            <w:vAlign w:val="bottom"/>
            <w:hideMark/>
          </w:tcPr>
          <w:p w14:paraId="4A0C837F"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1225" w:type="dxa"/>
            <w:tcBorders>
              <w:top w:val="nil"/>
              <w:left w:val="nil"/>
              <w:bottom w:val="nil"/>
              <w:right w:val="nil"/>
            </w:tcBorders>
            <w:shd w:val="clear" w:color="auto" w:fill="auto"/>
            <w:noWrap/>
            <w:vAlign w:val="bottom"/>
            <w:hideMark/>
          </w:tcPr>
          <w:p w14:paraId="5D1D8C02" w14:textId="77777777" w:rsidR="00936D04" w:rsidRPr="00D031DB" w:rsidRDefault="00936D04" w:rsidP="000C668E">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5190FFA5"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2AC2B64"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2097BFC"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0E65887" w14:textId="77777777" w:rsidR="00936D04" w:rsidRPr="00D031DB" w:rsidRDefault="00936D04" w:rsidP="000C668E">
            <w:pPr>
              <w:rPr>
                <w:rFonts w:ascii="Times New Roman" w:hAnsi="Times New Roman"/>
                <w:sz w:val="20"/>
                <w:szCs w:val="20"/>
              </w:rPr>
            </w:pPr>
          </w:p>
        </w:tc>
      </w:tr>
      <w:tr w:rsidR="00936D04" w:rsidRPr="00D031DB" w14:paraId="2AD26C12" w14:textId="77777777" w:rsidTr="00825E98">
        <w:trPr>
          <w:trHeight w:val="20"/>
        </w:trPr>
        <w:tc>
          <w:tcPr>
            <w:tcW w:w="2703" w:type="dxa"/>
            <w:gridSpan w:val="2"/>
            <w:tcBorders>
              <w:top w:val="nil"/>
              <w:left w:val="single" w:sz="4" w:space="0" w:color="auto"/>
              <w:bottom w:val="nil"/>
              <w:right w:val="nil"/>
            </w:tcBorders>
            <w:shd w:val="clear" w:color="auto" w:fill="auto"/>
            <w:noWrap/>
            <w:vAlign w:val="bottom"/>
            <w:hideMark/>
          </w:tcPr>
          <w:p w14:paraId="66779FE4" w14:textId="77777777" w:rsidR="00936D04" w:rsidRPr="00D031DB" w:rsidRDefault="00936D04" w:rsidP="000C668E">
            <w:pPr>
              <w:rPr>
                <w:rFonts w:cs="Calibri"/>
                <w:b/>
                <w:bCs/>
                <w:color w:val="000000"/>
                <w:sz w:val="22"/>
                <w:szCs w:val="22"/>
                <w:u w:val="single"/>
              </w:rPr>
            </w:pPr>
            <w:r w:rsidRPr="00D031DB">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163DD263" w14:textId="77777777" w:rsidR="00936D04" w:rsidRPr="00D031DB" w:rsidRDefault="00936D04" w:rsidP="000C668E">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5CBCCA4C"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1A9B780"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6F186EF" w14:textId="77777777" w:rsidR="00936D04" w:rsidRPr="00D031DB" w:rsidRDefault="00936D04" w:rsidP="000C668E">
            <w:pPr>
              <w:rPr>
                <w:rFonts w:ascii="Times New Roman" w:hAnsi="Times New Roman"/>
                <w:sz w:val="20"/>
                <w:szCs w:val="20"/>
              </w:rPr>
            </w:pPr>
          </w:p>
        </w:tc>
      </w:tr>
      <w:tr w:rsidR="00936D04" w:rsidRPr="00D031DB" w14:paraId="6184BEAA" w14:textId="77777777" w:rsidTr="00825E98">
        <w:trPr>
          <w:trHeight w:val="20"/>
        </w:trPr>
        <w:tc>
          <w:tcPr>
            <w:tcW w:w="2703" w:type="dxa"/>
            <w:gridSpan w:val="2"/>
            <w:tcBorders>
              <w:top w:val="nil"/>
              <w:left w:val="single" w:sz="4" w:space="0" w:color="auto"/>
              <w:bottom w:val="nil"/>
              <w:right w:val="nil"/>
            </w:tcBorders>
            <w:shd w:val="clear" w:color="auto" w:fill="auto"/>
            <w:noWrap/>
            <w:vAlign w:val="bottom"/>
            <w:hideMark/>
          </w:tcPr>
          <w:p w14:paraId="6588C215" w14:textId="77777777" w:rsidR="00936D04" w:rsidRPr="00D031DB" w:rsidRDefault="00936D04" w:rsidP="000C668E">
            <w:pPr>
              <w:rPr>
                <w:rFonts w:cs="Calibri"/>
                <w:b/>
                <w:bCs/>
                <w:color w:val="000000"/>
                <w:sz w:val="22"/>
                <w:szCs w:val="22"/>
              </w:rPr>
            </w:pPr>
            <w:r w:rsidRPr="00D031DB">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4A8A8DC6" w14:textId="77777777" w:rsidR="00936D04" w:rsidRPr="00D031DB" w:rsidRDefault="00936D04" w:rsidP="000C668E">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06DBF38"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D4D9C76"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57841E5" w14:textId="77777777" w:rsidR="00936D04" w:rsidRPr="00D031DB" w:rsidRDefault="00936D04" w:rsidP="000C668E">
            <w:pPr>
              <w:rPr>
                <w:rFonts w:ascii="Times New Roman" w:hAnsi="Times New Roman"/>
                <w:sz w:val="20"/>
                <w:szCs w:val="20"/>
              </w:rPr>
            </w:pPr>
          </w:p>
        </w:tc>
      </w:tr>
      <w:tr w:rsidR="00936D04" w:rsidRPr="00D031DB" w14:paraId="359DA79C" w14:textId="77777777" w:rsidTr="00825E98">
        <w:trPr>
          <w:trHeight w:val="20"/>
        </w:trPr>
        <w:tc>
          <w:tcPr>
            <w:tcW w:w="2703" w:type="dxa"/>
            <w:gridSpan w:val="2"/>
            <w:tcBorders>
              <w:top w:val="nil"/>
              <w:left w:val="single" w:sz="4" w:space="0" w:color="auto"/>
              <w:bottom w:val="nil"/>
              <w:right w:val="nil"/>
            </w:tcBorders>
            <w:shd w:val="clear" w:color="auto" w:fill="auto"/>
            <w:noWrap/>
            <w:vAlign w:val="bottom"/>
            <w:hideMark/>
          </w:tcPr>
          <w:p w14:paraId="3C935CBF" w14:textId="77777777" w:rsidR="00936D04" w:rsidRPr="00D031DB" w:rsidRDefault="00936D04" w:rsidP="000C668E">
            <w:pPr>
              <w:rPr>
                <w:rFonts w:cs="Calibri"/>
                <w:b/>
                <w:bCs/>
                <w:color w:val="000000"/>
                <w:sz w:val="22"/>
                <w:szCs w:val="22"/>
              </w:rPr>
            </w:pPr>
            <w:r w:rsidRPr="00D031DB">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7C59CED2" w14:textId="77777777" w:rsidR="00936D04" w:rsidRPr="00D031DB" w:rsidRDefault="00936D04" w:rsidP="000C668E">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C603A6A"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2ADAC2E"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BB338FA" w14:textId="77777777" w:rsidR="00936D04" w:rsidRPr="00D031DB" w:rsidRDefault="00936D04" w:rsidP="000C668E">
            <w:pPr>
              <w:rPr>
                <w:rFonts w:ascii="Times New Roman" w:hAnsi="Times New Roman"/>
                <w:sz w:val="20"/>
                <w:szCs w:val="20"/>
              </w:rPr>
            </w:pPr>
          </w:p>
        </w:tc>
      </w:tr>
      <w:tr w:rsidR="00936D04" w:rsidRPr="00D031DB" w14:paraId="037F08AF" w14:textId="77777777" w:rsidTr="00825E98">
        <w:trPr>
          <w:trHeight w:val="20"/>
        </w:trPr>
        <w:tc>
          <w:tcPr>
            <w:tcW w:w="2703" w:type="dxa"/>
            <w:gridSpan w:val="2"/>
            <w:tcBorders>
              <w:top w:val="nil"/>
              <w:left w:val="single" w:sz="4" w:space="0" w:color="auto"/>
              <w:bottom w:val="nil"/>
              <w:right w:val="nil"/>
            </w:tcBorders>
            <w:shd w:val="clear" w:color="auto" w:fill="auto"/>
            <w:noWrap/>
            <w:vAlign w:val="bottom"/>
            <w:hideMark/>
          </w:tcPr>
          <w:p w14:paraId="7C33EEE0" w14:textId="77777777" w:rsidR="00936D04" w:rsidRPr="00D031DB" w:rsidRDefault="00936D04" w:rsidP="000C668E">
            <w:pPr>
              <w:rPr>
                <w:rFonts w:cs="Calibri"/>
                <w:b/>
                <w:bCs/>
                <w:color w:val="000000"/>
                <w:sz w:val="22"/>
                <w:szCs w:val="22"/>
              </w:rPr>
            </w:pPr>
            <w:r w:rsidRPr="00D031DB">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6F5FF418" w14:textId="77777777" w:rsidR="00936D04" w:rsidRPr="00D031DB" w:rsidRDefault="00936D04" w:rsidP="000C668E">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F242C23"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9BE1873"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CBCD688" w14:textId="77777777" w:rsidR="00936D04" w:rsidRPr="00D031DB" w:rsidRDefault="00936D04" w:rsidP="000C668E">
            <w:pPr>
              <w:rPr>
                <w:rFonts w:ascii="Times New Roman" w:hAnsi="Times New Roman"/>
                <w:sz w:val="20"/>
                <w:szCs w:val="20"/>
              </w:rPr>
            </w:pPr>
          </w:p>
        </w:tc>
      </w:tr>
      <w:tr w:rsidR="00936D04" w:rsidRPr="00D031DB" w14:paraId="6A2A2F37" w14:textId="77777777" w:rsidTr="00825E98">
        <w:trPr>
          <w:trHeight w:val="20"/>
        </w:trPr>
        <w:tc>
          <w:tcPr>
            <w:tcW w:w="2703" w:type="dxa"/>
            <w:gridSpan w:val="2"/>
            <w:tcBorders>
              <w:top w:val="nil"/>
              <w:left w:val="single" w:sz="4" w:space="0" w:color="auto"/>
              <w:bottom w:val="single" w:sz="4" w:space="0" w:color="auto"/>
              <w:right w:val="nil"/>
            </w:tcBorders>
            <w:shd w:val="clear" w:color="auto" w:fill="auto"/>
            <w:noWrap/>
            <w:vAlign w:val="bottom"/>
            <w:hideMark/>
          </w:tcPr>
          <w:p w14:paraId="3B7CDCEB" w14:textId="77777777" w:rsidR="00936D04" w:rsidRPr="00D031DB" w:rsidRDefault="00936D04" w:rsidP="000C668E">
            <w:pPr>
              <w:rPr>
                <w:rFonts w:cs="Calibri"/>
                <w:b/>
                <w:bCs/>
                <w:color w:val="000000"/>
                <w:sz w:val="22"/>
                <w:szCs w:val="22"/>
              </w:rPr>
            </w:pPr>
            <w:r w:rsidRPr="00D031DB">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4033F7D1" w14:textId="77777777" w:rsidR="00936D04" w:rsidRPr="00D031DB" w:rsidRDefault="00936D04" w:rsidP="000C668E">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4B6DB9A" w14:textId="77777777" w:rsidR="00936D04" w:rsidRPr="00D031DB" w:rsidRDefault="00936D04" w:rsidP="000C668E">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6137226" w14:textId="77777777" w:rsidR="00936D04" w:rsidRPr="00D031DB" w:rsidRDefault="00936D04" w:rsidP="000C668E">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30ECF0F" w14:textId="77777777" w:rsidR="00936D04" w:rsidRPr="00D031DB" w:rsidRDefault="00936D04" w:rsidP="000C668E">
            <w:pPr>
              <w:rPr>
                <w:rFonts w:ascii="Times New Roman" w:hAnsi="Times New Roman"/>
                <w:sz w:val="20"/>
                <w:szCs w:val="20"/>
              </w:rPr>
            </w:pPr>
          </w:p>
        </w:tc>
      </w:tr>
      <w:tr w:rsidR="00936D04" w:rsidRPr="00D031DB" w14:paraId="2AD36B97"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F6236BC" w14:textId="77777777" w:rsidR="00936D04" w:rsidRPr="00D031DB" w:rsidRDefault="00936D04" w:rsidP="000C668E">
            <w:pPr>
              <w:rPr>
                <w:rFonts w:cs="Calibri"/>
                <w:b/>
                <w:bCs/>
                <w:sz w:val="22"/>
                <w:szCs w:val="22"/>
              </w:rPr>
            </w:pPr>
            <w:r w:rsidRPr="00D031DB">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25DAAE67" w14:textId="77777777" w:rsidR="00936D04" w:rsidRPr="00D031DB" w:rsidRDefault="00936D04" w:rsidP="000C668E">
            <w:pPr>
              <w:rPr>
                <w:rFonts w:cs="Calibri"/>
                <w:b/>
                <w:bCs/>
                <w:sz w:val="22"/>
                <w:szCs w:val="22"/>
              </w:rPr>
            </w:pPr>
            <w:r w:rsidRPr="00D031DB">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516172AB" w14:textId="77777777" w:rsidR="00936D04" w:rsidRPr="00D031DB" w:rsidRDefault="00936D04" w:rsidP="000C668E">
            <w:pPr>
              <w:rPr>
                <w:rFonts w:cs="Calibri"/>
                <w:b/>
                <w:bCs/>
                <w:sz w:val="22"/>
                <w:szCs w:val="22"/>
              </w:rPr>
            </w:pPr>
            <w:r w:rsidRPr="00D031DB">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2278EE61" w14:textId="77777777" w:rsidR="00936D04" w:rsidRPr="00D031DB" w:rsidRDefault="00936D04" w:rsidP="000C668E">
            <w:pPr>
              <w:rPr>
                <w:rFonts w:cs="Calibri"/>
                <w:b/>
                <w:bCs/>
                <w:sz w:val="22"/>
                <w:szCs w:val="22"/>
              </w:rPr>
            </w:pPr>
            <w:r w:rsidRPr="00D031DB">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145DB411" w14:textId="77777777" w:rsidR="00936D04" w:rsidRPr="00D031DB" w:rsidRDefault="00936D04" w:rsidP="000C668E">
            <w:pPr>
              <w:rPr>
                <w:rFonts w:cs="Calibri"/>
                <w:b/>
                <w:bCs/>
                <w:sz w:val="22"/>
                <w:szCs w:val="22"/>
              </w:rPr>
            </w:pPr>
            <w:r w:rsidRPr="00D031DB">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69D1A5D2" w14:textId="77777777" w:rsidR="00936D04" w:rsidRPr="00D031DB" w:rsidRDefault="00936D04" w:rsidP="000C668E">
            <w:pPr>
              <w:rPr>
                <w:rFonts w:cs="Calibri"/>
                <w:b/>
                <w:bCs/>
                <w:sz w:val="22"/>
                <w:szCs w:val="22"/>
              </w:rPr>
            </w:pPr>
            <w:r w:rsidRPr="00D031DB">
              <w:rPr>
                <w:rFonts w:cs="Calibri"/>
                <w:b/>
                <w:bCs/>
                <w:sz w:val="22"/>
                <w:szCs w:val="22"/>
              </w:rPr>
              <w:t> </w:t>
            </w:r>
          </w:p>
        </w:tc>
      </w:tr>
      <w:tr w:rsidR="00936D04" w:rsidRPr="00D031DB" w14:paraId="3D8CA097"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BD354D4" w14:textId="77777777" w:rsidR="00936D04" w:rsidRPr="00D031DB" w:rsidRDefault="00936D04" w:rsidP="000C668E">
            <w:pPr>
              <w:rPr>
                <w:rFonts w:cs="Calibri"/>
                <w:b/>
                <w:bCs/>
                <w:sz w:val="22"/>
                <w:szCs w:val="22"/>
              </w:rPr>
            </w:pPr>
            <w:r w:rsidRPr="00D031DB">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4569FBBE" w14:textId="77777777" w:rsidR="00936D04" w:rsidRPr="00D031DB" w:rsidRDefault="00936D04" w:rsidP="000C668E">
            <w:pPr>
              <w:rPr>
                <w:rFonts w:cs="Calibri"/>
                <w:b/>
                <w:bCs/>
                <w:sz w:val="22"/>
                <w:szCs w:val="22"/>
              </w:rPr>
            </w:pPr>
            <w:r w:rsidRPr="00D031DB">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0DEB80BE" w14:textId="77777777" w:rsidR="00936D04" w:rsidRPr="00D031DB" w:rsidRDefault="00936D04" w:rsidP="000C668E">
            <w:pPr>
              <w:rPr>
                <w:rFonts w:cs="Calibri"/>
                <w:b/>
                <w:bCs/>
                <w:sz w:val="22"/>
                <w:szCs w:val="22"/>
              </w:rPr>
            </w:pPr>
            <w:r w:rsidRPr="00D031DB">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1EB6AEE6" w14:textId="77777777" w:rsidR="00936D04" w:rsidRPr="00D031DB" w:rsidRDefault="00936D04" w:rsidP="000C668E">
            <w:pPr>
              <w:rPr>
                <w:rFonts w:cs="Calibri"/>
                <w:b/>
                <w:bCs/>
                <w:sz w:val="22"/>
                <w:szCs w:val="22"/>
              </w:rPr>
            </w:pPr>
            <w:r w:rsidRPr="00D031DB">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61607808" w14:textId="77777777" w:rsidR="00936D04" w:rsidRPr="00D031DB" w:rsidRDefault="00936D04" w:rsidP="000C668E">
            <w:pPr>
              <w:rPr>
                <w:rFonts w:cs="Calibri"/>
                <w:b/>
                <w:bCs/>
                <w:sz w:val="22"/>
                <w:szCs w:val="22"/>
              </w:rPr>
            </w:pPr>
            <w:r w:rsidRPr="00D031DB">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4CE9B9E0" w14:textId="77777777" w:rsidR="00936D04" w:rsidRPr="00D031DB" w:rsidRDefault="00936D04" w:rsidP="000C668E">
            <w:pPr>
              <w:rPr>
                <w:rFonts w:cs="Calibri"/>
                <w:b/>
                <w:bCs/>
                <w:sz w:val="22"/>
                <w:szCs w:val="22"/>
              </w:rPr>
            </w:pPr>
            <w:r w:rsidRPr="00D031DB">
              <w:rPr>
                <w:rFonts w:cs="Calibri"/>
                <w:b/>
                <w:bCs/>
                <w:sz w:val="22"/>
                <w:szCs w:val="22"/>
              </w:rPr>
              <w:t>LO3:</w:t>
            </w:r>
          </w:p>
        </w:tc>
      </w:tr>
      <w:tr w:rsidR="00936D04" w:rsidRPr="00D031DB" w14:paraId="2DB8AB89" w14:textId="77777777" w:rsidTr="00825E98">
        <w:trPr>
          <w:trHeight w:val="20"/>
        </w:trPr>
        <w:tc>
          <w:tcPr>
            <w:tcW w:w="1478" w:type="dxa"/>
            <w:tcBorders>
              <w:top w:val="nil"/>
              <w:left w:val="single" w:sz="4" w:space="0" w:color="auto"/>
              <w:bottom w:val="nil"/>
              <w:right w:val="nil"/>
            </w:tcBorders>
            <w:shd w:val="clear" w:color="auto" w:fill="auto"/>
            <w:noWrap/>
            <w:vAlign w:val="bottom"/>
            <w:hideMark/>
          </w:tcPr>
          <w:p w14:paraId="56F98F01" w14:textId="77777777" w:rsidR="00936D04" w:rsidRPr="00D031DB" w:rsidRDefault="00936D04" w:rsidP="000C668E">
            <w:pPr>
              <w:rPr>
                <w:rFonts w:cs="Calibri"/>
                <w:sz w:val="22"/>
                <w:szCs w:val="22"/>
              </w:rPr>
            </w:pPr>
            <w:r w:rsidRPr="00D031DB">
              <w:rPr>
                <w:rFonts w:cs="Calibri"/>
                <w:sz w:val="22"/>
                <w:szCs w:val="22"/>
              </w:rPr>
              <w:t> </w:t>
            </w:r>
          </w:p>
        </w:tc>
        <w:tc>
          <w:tcPr>
            <w:tcW w:w="1225" w:type="dxa"/>
            <w:tcBorders>
              <w:top w:val="nil"/>
              <w:left w:val="nil"/>
              <w:bottom w:val="nil"/>
              <w:right w:val="nil"/>
            </w:tcBorders>
            <w:shd w:val="clear" w:color="auto" w:fill="auto"/>
            <w:noWrap/>
            <w:vAlign w:val="bottom"/>
            <w:hideMark/>
          </w:tcPr>
          <w:p w14:paraId="3EF00483" w14:textId="77777777" w:rsidR="00936D04" w:rsidRPr="00D031DB" w:rsidRDefault="00936D04" w:rsidP="000C668E">
            <w:pPr>
              <w:rPr>
                <w:rFonts w:cs="Calibri"/>
                <w:sz w:val="22"/>
                <w:szCs w:val="22"/>
              </w:rPr>
            </w:pPr>
          </w:p>
        </w:tc>
        <w:tc>
          <w:tcPr>
            <w:tcW w:w="3697" w:type="dxa"/>
            <w:tcBorders>
              <w:top w:val="nil"/>
              <w:left w:val="nil"/>
              <w:bottom w:val="nil"/>
              <w:right w:val="nil"/>
            </w:tcBorders>
            <w:shd w:val="clear" w:color="auto" w:fill="auto"/>
            <w:noWrap/>
            <w:vAlign w:val="bottom"/>
            <w:hideMark/>
          </w:tcPr>
          <w:p w14:paraId="18E9E5B1" w14:textId="77777777" w:rsidR="00936D04" w:rsidRPr="00D031DB" w:rsidRDefault="00936D04" w:rsidP="000C668E">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601D7172" w14:textId="77777777" w:rsidR="00936D04" w:rsidRPr="00D031DB" w:rsidRDefault="00936D04" w:rsidP="000C668E">
            <w:pPr>
              <w:rPr>
                <w:rFonts w:cs="Calibri"/>
                <w:sz w:val="22"/>
                <w:szCs w:val="22"/>
              </w:rPr>
            </w:pPr>
            <w:r w:rsidRPr="00D031DB">
              <w:rPr>
                <w:rFonts w:cs="Calibri"/>
                <w:sz w:val="22"/>
                <w:szCs w:val="22"/>
              </w:rPr>
              <w:t xml:space="preserve">Graduates will demonstrate a degree of </w:t>
            </w:r>
            <w:proofErr w:type="spellStart"/>
            <w:r w:rsidRPr="00D031DB">
              <w:rPr>
                <w:rFonts w:cs="Calibri"/>
                <w:sz w:val="22"/>
                <w:szCs w:val="22"/>
              </w:rPr>
              <w:t>biologcial</w:t>
            </w:r>
            <w:proofErr w:type="spellEnd"/>
            <w:r w:rsidRPr="00D031DB">
              <w:rPr>
                <w:rFonts w:cs="Calibri"/>
                <w:sz w:val="22"/>
                <w:szCs w:val="22"/>
              </w:rPr>
              <w:t xml:space="preserve"> content knowledge appropriate to their degree level.</w:t>
            </w:r>
          </w:p>
        </w:tc>
        <w:tc>
          <w:tcPr>
            <w:tcW w:w="2360" w:type="dxa"/>
            <w:tcBorders>
              <w:top w:val="nil"/>
              <w:left w:val="nil"/>
              <w:bottom w:val="single" w:sz="4" w:space="0" w:color="auto"/>
              <w:right w:val="single" w:sz="4" w:space="0" w:color="auto"/>
            </w:tcBorders>
            <w:shd w:val="clear" w:color="auto" w:fill="auto"/>
            <w:vAlign w:val="bottom"/>
            <w:hideMark/>
          </w:tcPr>
          <w:p w14:paraId="6495FA74" w14:textId="77777777" w:rsidR="00936D04" w:rsidRPr="00D031DB" w:rsidRDefault="00936D04" w:rsidP="000C668E">
            <w:pPr>
              <w:rPr>
                <w:rFonts w:cs="Calibri"/>
                <w:sz w:val="22"/>
                <w:szCs w:val="22"/>
              </w:rPr>
            </w:pPr>
            <w:r w:rsidRPr="00D031DB">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68B61E63" w14:textId="77777777" w:rsidR="00936D04" w:rsidRPr="00D031DB" w:rsidRDefault="00936D04" w:rsidP="000C668E">
            <w:pPr>
              <w:rPr>
                <w:rFonts w:cs="Calibri"/>
                <w:sz w:val="22"/>
                <w:szCs w:val="22"/>
              </w:rPr>
            </w:pPr>
            <w:r w:rsidRPr="00D031DB">
              <w:rPr>
                <w:rFonts w:cs="Calibri"/>
                <w:sz w:val="22"/>
                <w:szCs w:val="22"/>
              </w:rPr>
              <w:t>Graduates will demonstrate an understanding of research ethics and responsible conduct of research.</w:t>
            </w:r>
          </w:p>
        </w:tc>
      </w:tr>
      <w:tr w:rsidR="00936D04" w:rsidRPr="00D031DB" w14:paraId="7D10ED00" w14:textId="77777777" w:rsidTr="00825E98">
        <w:trPr>
          <w:trHeight w:val="2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0996C01" w14:textId="77777777" w:rsidR="00936D04" w:rsidRPr="00D031DB" w:rsidRDefault="00936D04" w:rsidP="000C668E">
            <w:pPr>
              <w:rPr>
                <w:rFonts w:cs="Calibri"/>
                <w:b/>
                <w:bCs/>
                <w:sz w:val="22"/>
                <w:szCs w:val="22"/>
              </w:rPr>
            </w:pPr>
            <w:r w:rsidRPr="00D031DB">
              <w:rPr>
                <w:rFonts w:cs="Calibri"/>
                <w:b/>
                <w:bCs/>
                <w:sz w:val="22"/>
                <w:szCs w:val="22"/>
              </w:rPr>
              <w:t>Course Subject</w:t>
            </w:r>
          </w:p>
        </w:tc>
        <w:tc>
          <w:tcPr>
            <w:tcW w:w="1225" w:type="dxa"/>
            <w:tcBorders>
              <w:top w:val="single" w:sz="4" w:space="0" w:color="auto"/>
              <w:left w:val="nil"/>
              <w:bottom w:val="single" w:sz="4" w:space="0" w:color="auto"/>
              <w:right w:val="single" w:sz="4" w:space="0" w:color="auto"/>
            </w:tcBorders>
            <w:shd w:val="clear" w:color="000000" w:fill="C5D9F1"/>
            <w:noWrap/>
            <w:vAlign w:val="bottom"/>
            <w:hideMark/>
          </w:tcPr>
          <w:p w14:paraId="38D135E9" w14:textId="77777777" w:rsidR="00936D04" w:rsidRPr="00D031DB" w:rsidRDefault="00936D04" w:rsidP="000C668E">
            <w:pPr>
              <w:rPr>
                <w:rFonts w:cs="Calibri"/>
                <w:b/>
                <w:bCs/>
                <w:sz w:val="22"/>
                <w:szCs w:val="22"/>
              </w:rPr>
            </w:pPr>
            <w:r w:rsidRPr="00D031DB">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4D0DF36D" w14:textId="77777777" w:rsidR="00936D04" w:rsidRPr="00D031DB" w:rsidRDefault="00936D04" w:rsidP="000C668E">
            <w:pPr>
              <w:rPr>
                <w:rFonts w:cs="Calibri"/>
                <w:b/>
                <w:bCs/>
                <w:sz w:val="22"/>
                <w:szCs w:val="22"/>
              </w:rPr>
            </w:pPr>
            <w:r w:rsidRPr="00D031DB">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2B4076E3"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1DB795"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618B629"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4EE0F19B"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D611C5A"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1896C34" w14:textId="77777777" w:rsidR="00936D04" w:rsidRPr="00D031DB" w:rsidRDefault="00936D04" w:rsidP="000C668E">
            <w:pPr>
              <w:jc w:val="right"/>
              <w:rPr>
                <w:rFonts w:cs="Calibri"/>
                <w:color w:val="000000"/>
                <w:sz w:val="22"/>
                <w:szCs w:val="22"/>
              </w:rPr>
            </w:pPr>
            <w:r w:rsidRPr="00D031DB">
              <w:rPr>
                <w:rFonts w:cs="Calibri"/>
                <w:color w:val="000000"/>
                <w:sz w:val="22"/>
                <w:szCs w:val="22"/>
              </w:rPr>
              <w:t>120/121</w:t>
            </w:r>
          </w:p>
        </w:tc>
        <w:tc>
          <w:tcPr>
            <w:tcW w:w="3697" w:type="dxa"/>
            <w:tcBorders>
              <w:top w:val="nil"/>
              <w:left w:val="nil"/>
              <w:bottom w:val="single" w:sz="4" w:space="0" w:color="auto"/>
              <w:right w:val="single" w:sz="4" w:space="0" w:color="auto"/>
            </w:tcBorders>
            <w:shd w:val="clear" w:color="000000" w:fill="C5D9F1"/>
            <w:vAlign w:val="bottom"/>
            <w:hideMark/>
          </w:tcPr>
          <w:p w14:paraId="7008F9FA" w14:textId="77777777" w:rsidR="00936D04" w:rsidRPr="00D031DB" w:rsidRDefault="00936D04" w:rsidP="000C668E">
            <w:pPr>
              <w:rPr>
                <w:rFonts w:cs="Calibri"/>
                <w:color w:val="000000"/>
                <w:sz w:val="22"/>
                <w:szCs w:val="22"/>
              </w:rPr>
            </w:pPr>
            <w:r w:rsidRPr="00D031DB">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36AEC06" w14:textId="77777777" w:rsidR="00936D04" w:rsidRPr="00D031DB" w:rsidRDefault="00936D04" w:rsidP="000C668E">
            <w:pPr>
              <w:rPr>
                <w:rFonts w:cs="Calibri"/>
                <w:color w:val="000000"/>
                <w:sz w:val="22"/>
                <w:szCs w:val="22"/>
              </w:rPr>
            </w:pPr>
            <w:r w:rsidRPr="00D031DB">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57ED73ED" w14:textId="77777777" w:rsidR="00936D04" w:rsidRPr="00D031DB" w:rsidRDefault="00936D04" w:rsidP="000C668E">
            <w:pPr>
              <w:rPr>
                <w:rFonts w:cs="Calibri"/>
                <w:color w:val="000000"/>
                <w:sz w:val="22"/>
                <w:szCs w:val="22"/>
              </w:rPr>
            </w:pPr>
            <w:r w:rsidRPr="00D031DB">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4B852B74" w14:textId="77777777" w:rsidR="00936D04" w:rsidRPr="00D031DB" w:rsidRDefault="00936D04" w:rsidP="000C668E">
            <w:pPr>
              <w:rPr>
                <w:rFonts w:cs="Calibri"/>
                <w:color w:val="000000"/>
                <w:sz w:val="22"/>
                <w:szCs w:val="22"/>
              </w:rPr>
            </w:pPr>
            <w:r w:rsidRPr="00D031DB">
              <w:rPr>
                <w:rFonts w:cs="Calibri"/>
                <w:color w:val="000000"/>
                <w:sz w:val="22"/>
                <w:szCs w:val="22"/>
              </w:rPr>
              <w:t>I</w:t>
            </w:r>
          </w:p>
        </w:tc>
      </w:tr>
      <w:tr w:rsidR="00936D04" w:rsidRPr="00D031DB" w14:paraId="72F397D8"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6A1B9CD"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561B5EE" w14:textId="77777777" w:rsidR="00936D04" w:rsidRPr="00D031DB" w:rsidRDefault="00936D04" w:rsidP="000C668E">
            <w:pPr>
              <w:jc w:val="right"/>
              <w:rPr>
                <w:rFonts w:cs="Calibri"/>
                <w:color w:val="000000"/>
                <w:sz w:val="22"/>
                <w:szCs w:val="22"/>
              </w:rPr>
            </w:pPr>
            <w:r w:rsidRPr="00D031DB">
              <w:rPr>
                <w:rFonts w:cs="Calibri"/>
                <w:color w:val="000000"/>
                <w:sz w:val="22"/>
                <w:szCs w:val="22"/>
              </w:rPr>
              <w:t>122/123</w:t>
            </w:r>
          </w:p>
        </w:tc>
        <w:tc>
          <w:tcPr>
            <w:tcW w:w="3697" w:type="dxa"/>
            <w:tcBorders>
              <w:top w:val="nil"/>
              <w:left w:val="nil"/>
              <w:bottom w:val="single" w:sz="4" w:space="0" w:color="auto"/>
              <w:right w:val="single" w:sz="4" w:space="0" w:color="auto"/>
            </w:tcBorders>
            <w:shd w:val="clear" w:color="000000" w:fill="C5D9F1"/>
            <w:vAlign w:val="bottom"/>
            <w:hideMark/>
          </w:tcPr>
          <w:p w14:paraId="308D37BD" w14:textId="77777777" w:rsidR="00936D04" w:rsidRPr="00D031DB" w:rsidRDefault="00936D04" w:rsidP="000C668E">
            <w:pPr>
              <w:rPr>
                <w:rFonts w:cs="Calibri"/>
                <w:color w:val="000000"/>
                <w:sz w:val="22"/>
                <w:szCs w:val="22"/>
              </w:rPr>
            </w:pPr>
            <w:r w:rsidRPr="00D031DB">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4A0240E" w14:textId="77777777" w:rsidR="00936D04" w:rsidRPr="00D031DB" w:rsidRDefault="00936D04" w:rsidP="000C668E">
            <w:pPr>
              <w:rPr>
                <w:rFonts w:cs="Calibri"/>
                <w:color w:val="000000"/>
                <w:sz w:val="22"/>
                <w:szCs w:val="22"/>
              </w:rPr>
            </w:pPr>
            <w:r w:rsidRPr="00D031DB">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7E93F11E" w14:textId="77777777" w:rsidR="00936D04" w:rsidRPr="00D031DB" w:rsidRDefault="00936D04" w:rsidP="000C668E">
            <w:pPr>
              <w:rPr>
                <w:rFonts w:cs="Calibri"/>
                <w:color w:val="000000"/>
                <w:sz w:val="22"/>
                <w:szCs w:val="22"/>
              </w:rPr>
            </w:pPr>
            <w:r w:rsidRPr="00D031DB">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0C960968" w14:textId="77777777" w:rsidR="00936D04" w:rsidRPr="00D031DB" w:rsidRDefault="00936D04" w:rsidP="000C668E">
            <w:pPr>
              <w:rPr>
                <w:rFonts w:cs="Calibri"/>
                <w:color w:val="000000"/>
                <w:sz w:val="22"/>
                <w:szCs w:val="22"/>
              </w:rPr>
            </w:pPr>
            <w:r w:rsidRPr="00D031DB">
              <w:rPr>
                <w:rFonts w:cs="Calibri"/>
                <w:color w:val="000000"/>
                <w:sz w:val="22"/>
                <w:szCs w:val="22"/>
              </w:rPr>
              <w:t>I</w:t>
            </w:r>
          </w:p>
        </w:tc>
      </w:tr>
      <w:tr w:rsidR="00936D04" w:rsidRPr="00D031DB" w14:paraId="430CD332"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6153B19"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788EAD9" w14:textId="77777777" w:rsidR="00936D04" w:rsidRPr="00D031DB" w:rsidRDefault="00936D04" w:rsidP="000C668E">
            <w:pPr>
              <w:jc w:val="right"/>
              <w:rPr>
                <w:rFonts w:cs="Calibri"/>
                <w:color w:val="000000"/>
                <w:sz w:val="22"/>
                <w:szCs w:val="22"/>
              </w:rPr>
            </w:pPr>
            <w:r w:rsidRPr="00D031DB">
              <w:rPr>
                <w:rFonts w:cs="Calibri"/>
                <w:color w:val="000000"/>
                <w:sz w:val="22"/>
                <w:szCs w:val="22"/>
              </w:rPr>
              <w:t>222/223</w:t>
            </w:r>
          </w:p>
        </w:tc>
        <w:tc>
          <w:tcPr>
            <w:tcW w:w="3697" w:type="dxa"/>
            <w:tcBorders>
              <w:top w:val="nil"/>
              <w:left w:val="nil"/>
              <w:bottom w:val="single" w:sz="4" w:space="0" w:color="auto"/>
              <w:right w:val="single" w:sz="4" w:space="0" w:color="auto"/>
            </w:tcBorders>
            <w:shd w:val="clear" w:color="000000" w:fill="C5D9F1"/>
            <w:noWrap/>
            <w:vAlign w:val="bottom"/>
            <w:hideMark/>
          </w:tcPr>
          <w:p w14:paraId="5AA66C95" w14:textId="77777777" w:rsidR="00936D04" w:rsidRPr="00D031DB" w:rsidRDefault="00936D04" w:rsidP="000C668E">
            <w:pPr>
              <w:rPr>
                <w:rFonts w:cs="Calibri"/>
                <w:color w:val="000000"/>
                <w:sz w:val="22"/>
                <w:szCs w:val="22"/>
              </w:rPr>
            </w:pPr>
            <w:r w:rsidRPr="00D031DB">
              <w:rPr>
                <w:rFonts w:cs="Calibri"/>
                <w:color w:val="000000"/>
                <w:sz w:val="22"/>
                <w:szCs w:val="22"/>
              </w:rPr>
              <w:t>Plant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DA083BE"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1EAF447"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DAA22FB" w14:textId="77777777" w:rsidR="00936D04" w:rsidRPr="00D031DB" w:rsidRDefault="00936D04" w:rsidP="000C668E">
            <w:pPr>
              <w:rPr>
                <w:rFonts w:cs="Calibri"/>
                <w:color w:val="000000"/>
                <w:sz w:val="22"/>
                <w:szCs w:val="22"/>
              </w:rPr>
            </w:pPr>
            <w:r w:rsidRPr="00D031DB">
              <w:rPr>
                <w:rFonts w:cs="Calibri"/>
                <w:color w:val="000000"/>
                <w:sz w:val="22"/>
                <w:szCs w:val="22"/>
              </w:rPr>
              <w:t>R</w:t>
            </w:r>
          </w:p>
        </w:tc>
      </w:tr>
      <w:tr w:rsidR="00936D04" w:rsidRPr="00D031DB" w14:paraId="678191B0"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E0F0119"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0AA176B" w14:textId="77777777" w:rsidR="00936D04" w:rsidRPr="00D031DB" w:rsidRDefault="00936D04" w:rsidP="000C668E">
            <w:pPr>
              <w:jc w:val="right"/>
              <w:rPr>
                <w:rFonts w:cs="Calibri"/>
                <w:color w:val="000000"/>
                <w:sz w:val="22"/>
                <w:szCs w:val="22"/>
              </w:rPr>
            </w:pPr>
            <w:r w:rsidRPr="00D031DB">
              <w:rPr>
                <w:rFonts w:cs="Calibri"/>
                <w:color w:val="000000"/>
                <w:sz w:val="22"/>
                <w:szCs w:val="22"/>
              </w:rPr>
              <w:t>226/227</w:t>
            </w:r>
          </w:p>
        </w:tc>
        <w:tc>
          <w:tcPr>
            <w:tcW w:w="3697" w:type="dxa"/>
            <w:tcBorders>
              <w:top w:val="nil"/>
              <w:left w:val="nil"/>
              <w:bottom w:val="single" w:sz="4" w:space="0" w:color="auto"/>
              <w:right w:val="single" w:sz="4" w:space="0" w:color="auto"/>
            </w:tcBorders>
            <w:shd w:val="clear" w:color="000000" w:fill="C5D9F1"/>
            <w:vAlign w:val="bottom"/>
            <w:hideMark/>
          </w:tcPr>
          <w:p w14:paraId="1851169A" w14:textId="77777777" w:rsidR="00936D04" w:rsidRPr="00D031DB" w:rsidRDefault="00936D04" w:rsidP="000C668E">
            <w:pPr>
              <w:rPr>
                <w:rFonts w:cs="Calibri"/>
                <w:color w:val="000000"/>
                <w:sz w:val="22"/>
                <w:szCs w:val="22"/>
              </w:rPr>
            </w:pPr>
            <w:r w:rsidRPr="00D031DB">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9DCC44C"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25637F59"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5195292" w14:textId="77777777" w:rsidR="00936D04" w:rsidRPr="00D031DB" w:rsidRDefault="00936D04" w:rsidP="000C668E">
            <w:pPr>
              <w:rPr>
                <w:rFonts w:cs="Calibri"/>
                <w:color w:val="000000"/>
                <w:sz w:val="22"/>
                <w:szCs w:val="22"/>
              </w:rPr>
            </w:pPr>
            <w:r w:rsidRPr="00D031DB">
              <w:rPr>
                <w:rFonts w:cs="Calibri"/>
                <w:color w:val="000000"/>
                <w:sz w:val="22"/>
                <w:szCs w:val="22"/>
              </w:rPr>
              <w:t>R</w:t>
            </w:r>
          </w:p>
        </w:tc>
      </w:tr>
      <w:tr w:rsidR="00936D04" w:rsidRPr="00D031DB" w14:paraId="734183F6"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0BF0771"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B8D7994" w14:textId="77777777" w:rsidR="00936D04" w:rsidRPr="00D031DB" w:rsidRDefault="00936D04" w:rsidP="000C668E">
            <w:pPr>
              <w:jc w:val="right"/>
              <w:rPr>
                <w:rFonts w:cs="Calibri"/>
                <w:color w:val="000000"/>
                <w:sz w:val="22"/>
                <w:szCs w:val="22"/>
              </w:rPr>
            </w:pPr>
            <w:r w:rsidRPr="00D031DB">
              <w:rPr>
                <w:rFonts w:cs="Calibri"/>
                <w:color w:val="000000"/>
                <w:sz w:val="22"/>
                <w:szCs w:val="22"/>
              </w:rPr>
              <w:t>224/225</w:t>
            </w:r>
          </w:p>
        </w:tc>
        <w:tc>
          <w:tcPr>
            <w:tcW w:w="3697" w:type="dxa"/>
            <w:tcBorders>
              <w:top w:val="nil"/>
              <w:left w:val="nil"/>
              <w:bottom w:val="single" w:sz="4" w:space="0" w:color="auto"/>
              <w:right w:val="single" w:sz="4" w:space="0" w:color="auto"/>
            </w:tcBorders>
            <w:shd w:val="clear" w:color="000000" w:fill="C5D9F1"/>
            <w:noWrap/>
            <w:vAlign w:val="bottom"/>
            <w:hideMark/>
          </w:tcPr>
          <w:p w14:paraId="2D7E029A" w14:textId="77777777" w:rsidR="00936D04" w:rsidRPr="00D031DB" w:rsidRDefault="00936D04" w:rsidP="000C668E">
            <w:pPr>
              <w:rPr>
                <w:rFonts w:cs="Calibri"/>
                <w:color w:val="000000"/>
                <w:sz w:val="22"/>
                <w:szCs w:val="22"/>
              </w:rPr>
            </w:pPr>
            <w:r w:rsidRPr="00D031DB">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6368DB5"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05E748B3"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4DCBCBE" w14:textId="77777777" w:rsidR="00936D04" w:rsidRPr="00D031DB" w:rsidRDefault="00936D04" w:rsidP="000C668E">
            <w:pPr>
              <w:rPr>
                <w:rFonts w:cs="Calibri"/>
                <w:color w:val="000000"/>
                <w:sz w:val="22"/>
                <w:szCs w:val="22"/>
              </w:rPr>
            </w:pPr>
            <w:r w:rsidRPr="00D031DB">
              <w:rPr>
                <w:rFonts w:cs="Calibri"/>
                <w:color w:val="000000"/>
                <w:sz w:val="22"/>
                <w:szCs w:val="22"/>
              </w:rPr>
              <w:t>R</w:t>
            </w:r>
          </w:p>
        </w:tc>
      </w:tr>
      <w:tr w:rsidR="00936D04" w:rsidRPr="00D031DB" w14:paraId="6DDBCC73"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3706463" w14:textId="77777777" w:rsidR="00936D04" w:rsidRPr="00D031DB" w:rsidRDefault="00936D04" w:rsidP="000C668E">
            <w:pPr>
              <w:rPr>
                <w:rFonts w:cs="Calibri"/>
                <w:color w:val="000000"/>
                <w:sz w:val="22"/>
                <w:szCs w:val="22"/>
              </w:rPr>
            </w:pPr>
            <w:r w:rsidRPr="00D031DB">
              <w:rPr>
                <w:rFonts w:cs="Calibri"/>
                <w:color w:val="000000"/>
                <w:sz w:val="22"/>
                <w:szCs w:val="22"/>
              </w:rPr>
              <w:lastRenderedPageBreak/>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9C7F2B8" w14:textId="77777777" w:rsidR="00936D04" w:rsidRPr="00D031DB" w:rsidRDefault="00936D04" w:rsidP="000C668E">
            <w:pPr>
              <w:jc w:val="right"/>
              <w:rPr>
                <w:rFonts w:cs="Calibri"/>
                <w:color w:val="000000"/>
                <w:sz w:val="22"/>
                <w:szCs w:val="22"/>
              </w:rPr>
            </w:pPr>
            <w:r w:rsidRPr="00D031DB">
              <w:rPr>
                <w:rFonts w:cs="Calibri"/>
                <w:color w:val="000000"/>
                <w:sz w:val="22"/>
                <w:szCs w:val="22"/>
              </w:rPr>
              <w:t>319/322</w:t>
            </w:r>
          </w:p>
        </w:tc>
        <w:tc>
          <w:tcPr>
            <w:tcW w:w="3697" w:type="dxa"/>
            <w:tcBorders>
              <w:top w:val="nil"/>
              <w:left w:val="nil"/>
              <w:bottom w:val="single" w:sz="4" w:space="0" w:color="auto"/>
              <w:right w:val="single" w:sz="4" w:space="0" w:color="auto"/>
            </w:tcBorders>
            <w:shd w:val="clear" w:color="000000" w:fill="C5D9F1"/>
            <w:vAlign w:val="bottom"/>
            <w:hideMark/>
          </w:tcPr>
          <w:p w14:paraId="06B764FF" w14:textId="77777777" w:rsidR="00936D04" w:rsidRPr="00D031DB" w:rsidRDefault="00936D04" w:rsidP="000C668E">
            <w:pPr>
              <w:rPr>
                <w:rFonts w:cs="Calibri"/>
                <w:color w:val="000000"/>
                <w:sz w:val="22"/>
                <w:szCs w:val="22"/>
              </w:rPr>
            </w:pPr>
            <w:r w:rsidRPr="00D031DB">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4AA50B2"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54E69022"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C344F88" w14:textId="77777777" w:rsidR="00936D04" w:rsidRPr="00D031DB" w:rsidRDefault="00936D04" w:rsidP="000C668E">
            <w:pPr>
              <w:rPr>
                <w:rFonts w:cs="Calibri"/>
                <w:color w:val="000000"/>
                <w:sz w:val="22"/>
                <w:szCs w:val="22"/>
              </w:rPr>
            </w:pPr>
            <w:r w:rsidRPr="00D031DB">
              <w:rPr>
                <w:rFonts w:cs="Calibri"/>
                <w:color w:val="000000"/>
                <w:sz w:val="22"/>
                <w:szCs w:val="22"/>
              </w:rPr>
              <w:t>M</w:t>
            </w:r>
          </w:p>
        </w:tc>
      </w:tr>
      <w:tr w:rsidR="00936D04" w:rsidRPr="00D031DB" w14:paraId="7DC8C83B"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243F52E3"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C5B92BA" w14:textId="77777777" w:rsidR="00936D04" w:rsidRPr="00D031DB" w:rsidRDefault="00936D04" w:rsidP="000C668E">
            <w:pPr>
              <w:jc w:val="right"/>
              <w:rPr>
                <w:rFonts w:cs="Calibri"/>
                <w:color w:val="000000"/>
                <w:sz w:val="22"/>
                <w:szCs w:val="22"/>
              </w:rPr>
            </w:pPr>
            <w:r w:rsidRPr="00D031DB">
              <w:rPr>
                <w:rFonts w:cs="Calibri"/>
                <w:color w:val="000000"/>
                <w:sz w:val="22"/>
                <w:szCs w:val="22"/>
              </w:rPr>
              <w:t>327/337</w:t>
            </w:r>
          </w:p>
        </w:tc>
        <w:tc>
          <w:tcPr>
            <w:tcW w:w="3697" w:type="dxa"/>
            <w:tcBorders>
              <w:top w:val="nil"/>
              <w:left w:val="nil"/>
              <w:bottom w:val="single" w:sz="4" w:space="0" w:color="auto"/>
              <w:right w:val="single" w:sz="4" w:space="0" w:color="auto"/>
            </w:tcBorders>
            <w:shd w:val="clear" w:color="000000" w:fill="C5D9F1"/>
            <w:noWrap/>
            <w:vAlign w:val="bottom"/>
            <w:hideMark/>
          </w:tcPr>
          <w:p w14:paraId="5018AF41" w14:textId="77777777" w:rsidR="00936D04" w:rsidRPr="00D031DB" w:rsidRDefault="00936D04" w:rsidP="000C668E">
            <w:pPr>
              <w:rPr>
                <w:rFonts w:cs="Calibri"/>
                <w:color w:val="000000"/>
                <w:sz w:val="22"/>
                <w:szCs w:val="22"/>
              </w:rPr>
            </w:pPr>
            <w:r w:rsidRPr="00D031DB">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E08279B"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79E43AB9"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3ADCE1B" w14:textId="77777777" w:rsidR="00936D04" w:rsidRPr="00D031DB" w:rsidRDefault="00936D04" w:rsidP="000C668E">
            <w:pPr>
              <w:rPr>
                <w:rFonts w:cs="Calibri"/>
                <w:color w:val="000000"/>
                <w:sz w:val="22"/>
                <w:szCs w:val="22"/>
              </w:rPr>
            </w:pPr>
            <w:r w:rsidRPr="00D031DB">
              <w:rPr>
                <w:rFonts w:cs="Calibri"/>
                <w:color w:val="000000"/>
                <w:sz w:val="22"/>
                <w:szCs w:val="22"/>
              </w:rPr>
              <w:t>M</w:t>
            </w:r>
          </w:p>
        </w:tc>
      </w:tr>
      <w:tr w:rsidR="00936D04" w:rsidRPr="00D031DB" w14:paraId="5965CCFE"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AB68B41"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808EDFD" w14:textId="77777777" w:rsidR="00936D04" w:rsidRPr="00D031DB" w:rsidRDefault="00936D04" w:rsidP="000C668E">
            <w:pPr>
              <w:jc w:val="right"/>
              <w:rPr>
                <w:rFonts w:cs="Calibri"/>
                <w:color w:val="000000"/>
                <w:sz w:val="22"/>
                <w:szCs w:val="22"/>
              </w:rPr>
            </w:pPr>
            <w:r w:rsidRPr="00D031DB">
              <w:rPr>
                <w:rFonts w:cs="Calibri"/>
                <w:color w:val="000000"/>
                <w:sz w:val="22"/>
                <w:szCs w:val="22"/>
              </w:rPr>
              <w:t>315</w:t>
            </w:r>
          </w:p>
        </w:tc>
        <w:tc>
          <w:tcPr>
            <w:tcW w:w="3697" w:type="dxa"/>
            <w:tcBorders>
              <w:top w:val="nil"/>
              <w:left w:val="nil"/>
              <w:bottom w:val="single" w:sz="4" w:space="0" w:color="auto"/>
              <w:right w:val="single" w:sz="4" w:space="0" w:color="auto"/>
            </w:tcBorders>
            <w:shd w:val="clear" w:color="000000" w:fill="C5D9F1"/>
            <w:noWrap/>
            <w:vAlign w:val="bottom"/>
            <w:hideMark/>
          </w:tcPr>
          <w:p w14:paraId="399EF7A6" w14:textId="77777777" w:rsidR="00936D04" w:rsidRPr="00D031DB" w:rsidRDefault="00936D04" w:rsidP="000C668E">
            <w:pPr>
              <w:rPr>
                <w:rFonts w:cs="Calibri"/>
                <w:color w:val="000000"/>
                <w:sz w:val="22"/>
                <w:szCs w:val="22"/>
              </w:rPr>
            </w:pPr>
            <w:r w:rsidRPr="00D031DB">
              <w:rPr>
                <w:rFonts w:cs="Calibri"/>
                <w:color w:val="000000"/>
                <w:sz w:val="22"/>
                <w:szCs w:val="22"/>
              </w:rPr>
              <w:t>Ecology</w:t>
            </w:r>
          </w:p>
        </w:tc>
        <w:tc>
          <w:tcPr>
            <w:tcW w:w="2360" w:type="dxa"/>
            <w:tcBorders>
              <w:top w:val="nil"/>
              <w:left w:val="nil"/>
              <w:bottom w:val="single" w:sz="4" w:space="0" w:color="auto"/>
              <w:right w:val="single" w:sz="4" w:space="0" w:color="auto"/>
            </w:tcBorders>
            <w:shd w:val="clear" w:color="auto" w:fill="auto"/>
            <w:noWrap/>
            <w:vAlign w:val="bottom"/>
            <w:hideMark/>
          </w:tcPr>
          <w:p w14:paraId="228F74FF"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74881E5E"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5020425"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35755818"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176060A"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17D27857" w14:textId="77777777" w:rsidR="00936D04" w:rsidRPr="00D031DB" w:rsidRDefault="00936D04" w:rsidP="000C668E">
            <w:pPr>
              <w:jc w:val="right"/>
              <w:rPr>
                <w:rFonts w:cs="Calibri"/>
                <w:color w:val="000000"/>
                <w:sz w:val="22"/>
                <w:szCs w:val="22"/>
              </w:rPr>
            </w:pPr>
            <w:r w:rsidRPr="00D031DB">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005F58C2" w14:textId="77777777" w:rsidR="00936D04" w:rsidRPr="00D031DB" w:rsidRDefault="00936D04" w:rsidP="000C668E">
            <w:pPr>
              <w:rPr>
                <w:rFonts w:cs="Calibri"/>
                <w:color w:val="000000"/>
                <w:sz w:val="22"/>
                <w:szCs w:val="22"/>
              </w:rPr>
            </w:pPr>
            <w:r w:rsidRPr="00D031DB">
              <w:rPr>
                <w:rFonts w:cs="Calibri"/>
                <w:color w:val="000000"/>
                <w:sz w:val="22"/>
                <w:szCs w:val="22"/>
              </w:rPr>
              <w:t>Evolution: Theory and Process</w:t>
            </w:r>
          </w:p>
        </w:tc>
        <w:tc>
          <w:tcPr>
            <w:tcW w:w="2360" w:type="dxa"/>
            <w:tcBorders>
              <w:top w:val="nil"/>
              <w:left w:val="nil"/>
              <w:bottom w:val="single" w:sz="4" w:space="0" w:color="auto"/>
              <w:right w:val="single" w:sz="4" w:space="0" w:color="auto"/>
            </w:tcBorders>
            <w:shd w:val="clear" w:color="auto" w:fill="auto"/>
            <w:noWrap/>
            <w:vAlign w:val="bottom"/>
            <w:hideMark/>
          </w:tcPr>
          <w:p w14:paraId="64DCB1F6"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01A42003"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06CB556"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3C569004"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1C16A5E"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41A91FC" w14:textId="77777777" w:rsidR="00936D04" w:rsidRPr="00D031DB" w:rsidRDefault="00936D04" w:rsidP="000C668E">
            <w:pPr>
              <w:jc w:val="right"/>
              <w:rPr>
                <w:rFonts w:cs="Calibri"/>
                <w:color w:val="000000"/>
                <w:sz w:val="22"/>
                <w:szCs w:val="22"/>
              </w:rPr>
            </w:pPr>
            <w:r w:rsidRPr="00D031DB">
              <w:rPr>
                <w:rFonts w:cs="Calibri"/>
                <w:color w:val="000000"/>
                <w:sz w:val="22"/>
                <w:szCs w:val="22"/>
              </w:rPr>
              <w:t>2xx</w:t>
            </w:r>
          </w:p>
        </w:tc>
        <w:tc>
          <w:tcPr>
            <w:tcW w:w="3697" w:type="dxa"/>
            <w:tcBorders>
              <w:top w:val="nil"/>
              <w:left w:val="nil"/>
              <w:bottom w:val="single" w:sz="4" w:space="0" w:color="auto"/>
              <w:right w:val="single" w:sz="4" w:space="0" w:color="auto"/>
            </w:tcBorders>
            <w:shd w:val="clear" w:color="000000" w:fill="C5D9F1"/>
            <w:noWrap/>
            <w:vAlign w:val="bottom"/>
            <w:hideMark/>
          </w:tcPr>
          <w:p w14:paraId="2A5F3183" w14:textId="77777777" w:rsidR="00936D04" w:rsidRPr="00D031DB" w:rsidRDefault="00936D04" w:rsidP="000C668E">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20FB3493"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01CB7E7" w14:textId="77777777" w:rsidR="00936D04" w:rsidRPr="00D031DB" w:rsidRDefault="00936D04" w:rsidP="000C668E">
            <w:pPr>
              <w:rPr>
                <w:rFonts w:cs="Calibri"/>
                <w:color w:val="000000"/>
                <w:sz w:val="22"/>
                <w:szCs w:val="22"/>
              </w:rPr>
            </w:pPr>
            <w:r w:rsidRPr="00D031DB">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8C80437"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66E3B15D"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FDFC1B8"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vAlign w:val="bottom"/>
            <w:hideMark/>
          </w:tcPr>
          <w:p w14:paraId="261788A3" w14:textId="77777777" w:rsidR="00936D04" w:rsidRPr="00D031DB" w:rsidRDefault="00936D04" w:rsidP="000C668E">
            <w:pPr>
              <w:jc w:val="right"/>
              <w:rPr>
                <w:rFonts w:cs="Calibri"/>
                <w:color w:val="000000"/>
                <w:sz w:val="22"/>
                <w:szCs w:val="22"/>
              </w:rPr>
            </w:pPr>
            <w:r w:rsidRPr="00D031DB">
              <w:rPr>
                <w:rFonts w:cs="Calibri"/>
                <w:color w:val="000000"/>
                <w:sz w:val="22"/>
                <w:szCs w:val="22"/>
              </w:rPr>
              <w:t>3xx</w:t>
            </w:r>
          </w:p>
        </w:tc>
        <w:tc>
          <w:tcPr>
            <w:tcW w:w="3697" w:type="dxa"/>
            <w:tcBorders>
              <w:top w:val="nil"/>
              <w:left w:val="nil"/>
              <w:bottom w:val="single" w:sz="4" w:space="0" w:color="auto"/>
              <w:right w:val="single" w:sz="4" w:space="0" w:color="auto"/>
            </w:tcBorders>
            <w:shd w:val="clear" w:color="000000" w:fill="C5D9F1"/>
            <w:noWrap/>
            <w:vAlign w:val="bottom"/>
            <w:hideMark/>
          </w:tcPr>
          <w:p w14:paraId="6FE1920E" w14:textId="77777777" w:rsidR="00936D04" w:rsidRPr="00D031DB" w:rsidRDefault="00936D04" w:rsidP="000C668E">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3BAD0FCF" w14:textId="77777777" w:rsidR="00936D04" w:rsidRPr="00D031DB" w:rsidRDefault="00936D04" w:rsidP="000C668E">
            <w:pPr>
              <w:rPr>
                <w:rFonts w:cs="Calibri"/>
                <w:color w:val="000000"/>
                <w:sz w:val="22"/>
                <w:szCs w:val="22"/>
              </w:rPr>
            </w:pPr>
            <w:r w:rsidRPr="00D031DB">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79444140"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A883846"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72F082A7"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4818381E"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42DAFFC" w14:textId="77777777" w:rsidR="00936D04" w:rsidRPr="00D031DB" w:rsidRDefault="00936D04" w:rsidP="000C668E">
            <w:pPr>
              <w:jc w:val="right"/>
              <w:rPr>
                <w:rFonts w:cs="Calibri"/>
                <w:color w:val="000000"/>
                <w:sz w:val="22"/>
                <w:szCs w:val="22"/>
              </w:rPr>
            </w:pPr>
            <w:r w:rsidRPr="00D031DB">
              <w:rPr>
                <w:rFonts w:cs="Calibri"/>
                <w:color w:val="000000"/>
                <w:sz w:val="22"/>
                <w:szCs w:val="22"/>
              </w:rPr>
              <w:t>4xx</w:t>
            </w:r>
          </w:p>
        </w:tc>
        <w:tc>
          <w:tcPr>
            <w:tcW w:w="3697" w:type="dxa"/>
            <w:tcBorders>
              <w:top w:val="nil"/>
              <w:left w:val="nil"/>
              <w:bottom w:val="single" w:sz="4" w:space="0" w:color="auto"/>
              <w:right w:val="single" w:sz="4" w:space="0" w:color="auto"/>
            </w:tcBorders>
            <w:shd w:val="clear" w:color="000000" w:fill="C5D9F1"/>
            <w:noWrap/>
            <w:vAlign w:val="bottom"/>
            <w:hideMark/>
          </w:tcPr>
          <w:p w14:paraId="47C555A0" w14:textId="77777777" w:rsidR="00936D04" w:rsidRPr="00D031DB" w:rsidRDefault="00936D04" w:rsidP="000C668E">
            <w:pPr>
              <w:rPr>
                <w:rFonts w:cs="Calibri"/>
                <w:color w:val="000000"/>
                <w:sz w:val="22"/>
                <w:szCs w:val="22"/>
              </w:rPr>
            </w:pPr>
            <w:r w:rsidRPr="00D031DB">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7872B75C" w14:textId="77777777" w:rsidR="00936D04" w:rsidRPr="00D031DB" w:rsidRDefault="00936D04" w:rsidP="000C668E">
            <w:pPr>
              <w:rPr>
                <w:rFonts w:cs="Calibri"/>
                <w:color w:val="000000"/>
                <w:sz w:val="22"/>
                <w:szCs w:val="22"/>
              </w:rPr>
            </w:pPr>
            <w:r w:rsidRPr="00D031DB">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63F13543"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7953A76"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08A927D9"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FD12CF1"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6B5DF28" w14:textId="77777777" w:rsidR="00936D04" w:rsidRPr="00D031DB" w:rsidRDefault="00936D04" w:rsidP="000C668E">
            <w:pPr>
              <w:jc w:val="right"/>
              <w:rPr>
                <w:rFonts w:cs="Calibri"/>
                <w:color w:val="000000"/>
                <w:sz w:val="22"/>
                <w:szCs w:val="22"/>
              </w:rPr>
            </w:pPr>
            <w:r w:rsidRPr="00D031DB">
              <w:rPr>
                <w:rFonts w:cs="Calibri"/>
                <w:color w:val="000000"/>
                <w:sz w:val="22"/>
                <w:szCs w:val="22"/>
              </w:rPr>
              <w:t>3xx/4xx</w:t>
            </w:r>
          </w:p>
        </w:tc>
        <w:tc>
          <w:tcPr>
            <w:tcW w:w="3697" w:type="dxa"/>
            <w:tcBorders>
              <w:top w:val="nil"/>
              <w:left w:val="nil"/>
              <w:bottom w:val="single" w:sz="4" w:space="0" w:color="auto"/>
              <w:right w:val="single" w:sz="4" w:space="0" w:color="auto"/>
            </w:tcBorders>
            <w:shd w:val="clear" w:color="000000" w:fill="C5D9F1"/>
            <w:noWrap/>
            <w:vAlign w:val="bottom"/>
            <w:hideMark/>
          </w:tcPr>
          <w:p w14:paraId="6A3EF7EA" w14:textId="77777777" w:rsidR="00936D04" w:rsidRPr="00D031DB" w:rsidRDefault="00936D04" w:rsidP="000C668E">
            <w:pPr>
              <w:rPr>
                <w:rFonts w:cs="Calibri"/>
                <w:color w:val="000000"/>
                <w:sz w:val="22"/>
                <w:szCs w:val="22"/>
              </w:rPr>
            </w:pPr>
            <w:r w:rsidRPr="00D031DB">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0CB9CBEA" w14:textId="77777777" w:rsidR="00936D04" w:rsidRPr="00D031DB" w:rsidRDefault="00936D04" w:rsidP="000C668E">
            <w:pPr>
              <w:rPr>
                <w:rFonts w:cs="Calibri"/>
                <w:color w:val="000000"/>
                <w:sz w:val="22"/>
                <w:szCs w:val="22"/>
              </w:rPr>
            </w:pPr>
            <w:r w:rsidRPr="00D031DB">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4ED085CE" w14:textId="77777777" w:rsidR="00936D04" w:rsidRPr="00D031DB" w:rsidRDefault="00936D04" w:rsidP="000C668E">
            <w:pPr>
              <w:rPr>
                <w:rFonts w:cs="Calibri"/>
                <w:color w:val="000000"/>
                <w:sz w:val="22"/>
                <w:szCs w:val="22"/>
              </w:rPr>
            </w:pPr>
            <w:r w:rsidRPr="00D031DB">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0AA19B6" w14:textId="77777777" w:rsidR="00936D04" w:rsidRPr="00D031DB" w:rsidRDefault="00936D04" w:rsidP="000C668E">
            <w:pPr>
              <w:rPr>
                <w:rFonts w:cs="Calibri"/>
                <w:color w:val="000000"/>
                <w:sz w:val="22"/>
                <w:szCs w:val="22"/>
              </w:rPr>
            </w:pPr>
            <w:r w:rsidRPr="00D031DB">
              <w:rPr>
                <w:rFonts w:cs="Calibri"/>
                <w:color w:val="000000"/>
                <w:sz w:val="22"/>
                <w:szCs w:val="22"/>
              </w:rPr>
              <w:t> </w:t>
            </w:r>
          </w:p>
        </w:tc>
      </w:tr>
      <w:tr w:rsidR="00936D04" w:rsidRPr="00D031DB" w14:paraId="323E3B2A" w14:textId="77777777" w:rsidTr="00825E98">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C6A634E" w14:textId="77777777" w:rsidR="00936D04" w:rsidRPr="00D031DB" w:rsidRDefault="00936D04" w:rsidP="000C668E">
            <w:pPr>
              <w:rPr>
                <w:rFonts w:cs="Calibri"/>
                <w:color w:val="000000"/>
                <w:sz w:val="22"/>
                <w:szCs w:val="22"/>
              </w:rPr>
            </w:pPr>
            <w:r w:rsidRPr="00D031DB">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8709F5E" w14:textId="77777777" w:rsidR="00936D04" w:rsidRPr="00D031DB" w:rsidRDefault="00936D04" w:rsidP="000C668E">
            <w:pPr>
              <w:jc w:val="right"/>
              <w:rPr>
                <w:rFonts w:cs="Calibri"/>
                <w:color w:val="000000"/>
                <w:sz w:val="22"/>
                <w:szCs w:val="22"/>
              </w:rPr>
            </w:pPr>
            <w:r w:rsidRPr="00D031DB">
              <w:rPr>
                <w:rFonts w:cs="Calibri"/>
                <w:color w:val="000000"/>
                <w:sz w:val="22"/>
                <w:szCs w:val="22"/>
              </w:rPr>
              <w:t>489</w:t>
            </w:r>
          </w:p>
        </w:tc>
        <w:tc>
          <w:tcPr>
            <w:tcW w:w="3697" w:type="dxa"/>
            <w:tcBorders>
              <w:top w:val="nil"/>
              <w:left w:val="nil"/>
              <w:bottom w:val="single" w:sz="4" w:space="0" w:color="auto"/>
              <w:right w:val="single" w:sz="4" w:space="0" w:color="auto"/>
            </w:tcBorders>
            <w:shd w:val="clear" w:color="000000" w:fill="C5D9F1"/>
            <w:noWrap/>
            <w:vAlign w:val="bottom"/>
            <w:hideMark/>
          </w:tcPr>
          <w:p w14:paraId="139ED8E7" w14:textId="77777777" w:rsidR="00936D04" w:rsidRPr="00D031DB" w:rsidRDefault="00936D04" w:rsidP="000C668E">
            <w:pPr>
              <w:rPr>
                <w:rFonts w:cs="Calibri"/>
                <w:color w:val="000000"/>
                <w:sz w:val="22"/>
                <w:szCs w:val="22"/>
              </w:rPr>
            </w:pPr>
            <w:r w:rsidRPr="00D031DB">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4FF3E438" w14:textId="77777777" w:rsidR="00936D04" w:rsidRPr="00D031DB" w:rsidRDefault="00936D04" w:rsidP="000C668E">
            <w:pPr>
              <w:rPr>
                <w:rFonts w:cs="Calibri"/>
                <w:color w:val="000000"/>
                <w:sz w:val="22"/>
                <w:szCs w:val="22"/>
              </w:rPr>
            </w:pPr>
            <w:r w:rsidRPr="00D031DB">
              <w:rPr>
                <w:rFonts w:cs="Calibri"/>
                <w:color w:val="000000"/>
                <w:sz w:val="22"/>
                <w:szCs w:val="22"/>
              </w:rPr>
              <w:t>A</w:t>
            </w:r>
          </w:p>
        </w:tc>
        <w:tc>
          <w:tcPr>
            <w:tcW w:w="2360" w:type="dxa"/>
            <w:tcBorders>
              <w:top w:val="nil"/>
              <w:left w:val="nil"/>
              <w:bottom w:val="single" w:sz="4" w:space="0" w:color="auto"/>
              <w:right w:val="single" w:sz="4" w:space="0" w:color="auto"/>
            </w:tcBorders>
            <w:shd w:val="clear" w:color="auto" w:fill="auto"/>
            <w:noWrap/>
            <w:vAlign w:val="bottom"/>
            <w:hideMark/>
          </w:tcPr>
          <w:p w14:paraId="5A870B10" w14:textId="77777777" w:rsidR="00936D04" w:rsidRPr="00D031DB" w:rsidRDefault="00936D04" w:rsidP="000C668E">
            <w:pPr>
              <w:rPr>
                <w:rFonts w:cs="Calibri"/>
                <w:color w:val="000000"/>
                <w:sz w:val="22"/>
                <w:szCs w:val="22"/>
              </w:rPr>
            </w:pPr>
            <w:r w:rsidRPr="00D031DB">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09C05309" w14:textId="77777777" w:rsidR="00936D04" w:rsidRPr="00D031DB" w:rsidRDefault="00936D04" w:rsidP="000C668E">
            <w:pPr>
              <w:rPr>
                <w:rFonts w:cs="Calibri"/>
                <w:color w:val="000000"/>
                <w:sz w:val="22"/>
                <w:szCs w:val="22"/>
              </w:rPr>
            </w:pPr>
            <w:r w:rsidRPr="00D031DB">
              <w:rPr>
                <w:rFonts w:cs="Calibri"/>
                <w:color w:val="000000"/>
                <w:sz w:val="22"/>
                <w:szCs w:val="22"/>
              </w:rPr>
              <w:t>A</w:t>
            </w:r>
          </w:p>
        </w:tc>
      </w:tr>
    </w:tbl>
    <w:p w14:paraId="10D37989" w14:textId="77777777" w:rsidR="00226A7C" w:rsidRDefault="00226A7C" w:rsidP="00936D04"/>
    <w:sectPr w:rsidR="00226A7C" w:rsidSect="00FC525E">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36342" w14:textId="77777777" w:rsidR="00FC525E" w:rsidRDefault="00FC525E" w:rsidP="001F2A02">
      <w:r>
        <w:separator/>
      </w:r>
    </w:p>
  </w:endnote>
  <w:endnote w:type="continuationSeparator" w:id="0">
    <w:p w14:paraId="382D18C8" w14:textId="77777777" w:rsidR="00FC525E" w:rsidRDefault="00FC525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6399D" w14:textId="77777777" w:rsidR="00FC525E" w:rsidRDefault="00FC525E" w:rsidP="001F2A02">
      <w:r>
        <w:separator/>
      </w:r>
    </w:p>
  </w:footnote>
  <w:footnote w:type="continuationSeparator" w:id="0">
    <w:p w14:paraId="0EA65C1B" w14:textId="77777777" w:rsidR="00FC525E" w:rsidRDefault="00FC525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26A7C"/>
    <w:rsid w:val="00234076"/>
    <w:rsid w:val="002432A3"/>
    <w:rsid w:val="0024670E"/>
    <w:rsid w:val="002C1781"/>
    <w:rsid w:val="002D5D87"/>
    <w:rsid w:val="002F75F1"/>
    <w:rsid w:val="003425F4"/>
    <w:rsid w:val="0036061A"/>
    <w:rsid w:val="003A32E4"/>
    <w:rsid w:val="003B294E"/>
    <w:rsid w:val="003B53B3"/>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C7BD9"/>
    <w:rsid w:val="006D1A9A"/>
    <w:rsid w:val="006E294C"/>
    <w:rsid w:val="0070232E"/>
    <w:rsid w:val="007377F0"/>
    <w:rsid w:val="007531CA"/>
    <w:rsid w:val="0075740F"/>
    <w:rsid w:val="007706BE"/>
    <w:rsid w:val="00810874"/>
    <w:rsid w:val="00825E98"/>
    <w:rsid w:val="00885D49"/>
    <w:rsid w:val="00886031"/>
    <w:rsid w:val="00893D93"/>
    <w:rsid w:val="008C543D"/>
    <w:rsid w:val="00906B14"/>
    <w:rsid w:val="00936D04"/>
    <w:rsid w:val="009414E6"/>
    <w:rsid w:val="009952EC"/>
    <w:rsid w:val="00A65726"/>
    <w:rsid w:val="00A8015B"/>
    <w:rsid w:val="00AA0DA6"/>
    <w:rsid w:val="00AA5FB2"/>
    <w:rsid w:val="00AA7D4B"/>
    <w:rsid w:val="00AE4331"/>
    <w:rsid w:val="00AE7017"/>
    <w:rsid w:val="00B00701"/>
    <w:rsid w:val="00B3239E"/>
    <w:rsid w:val="00B63581"/>
    <w:rsid w:val="00BA43B7"/>
    <w:rsid w:val="00BC0316"/>
    <w:rsid w:val="00BD0470"/>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C525E"/>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226A7C"/>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ael.smith1@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2024-05-07T19:51:00Z</dcterms:created>
  <dcterms:modified xsi:type="dcterms:W3CDTF">2024-05-08T16:29:00Z</dcterms:modified>
</cp:coreProperties>
</file>