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CA5CB7" w14:paraId="1ECF084C" w14:textId="77777777" w:rsidTr="008B6874">
        <w:trPr>
          <w:trHeight w:val="620"/>
        </w:trPr>
        <w:tc>
          <w:tcPr>
            <w:tcW w:w="9355" w:type="dxa"/>
            <w:gridSpan w:val="2"/>
            <w:shd w:val="pct12" w:color="auto" w:fill="auto"/>
          </w:tcPr>
          <w:p w14:paraId="68334227" w14:textId="77777777" w:rsidR="00CA5CB7" w:rsidRPr="00B3239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Learning</w:t>
            </w:r>
            <w:r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17DB680" w14:textId="77777777" w:rsidR="00CA5CB7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2021-2022</w:t>
            </w:r>
          </w:p>
        </w:tc>
      </w:tr>
      <w:tr w:rsidR="00CA5CB7" w14:paraId="495851FD" w14:textId="77777777" w:rsidTr="008B6874">
        <w:trPr>
          <w:trHeight w:val="242"/>
        </w:trPr>
        <w:tc>
          <w:tcPr>
            <w:tcW w:w="6475" w:type="dxa"/>
          </w:tcPr>
          <w:p w14:paraId="077DFD24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914287">
              <w:rPr>
                <w:rFonts w:ascii="Times New Roman" w:hAnsi="Times New Roman"/>
                <w:bCs/>
                <w:sz w:val="20"/>
              </w:rPr>
              <w:t>Gordon Ford College of Business</w:t>
            </w:r>
          </w:p>
        </w:tc>
        <w:tc>
          <w:tcPr>
            <w:tcW w:w="2880" w:type="dxa"/>
          </w:tcPr>
          <w:p w14:paraId="07650408" w14:textId="77777777" w:rsidR="00CA5CB7" w:rsidRPr="00914287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Management</w:t>
            </w:r>
          </w:p>
        </w:tc>
      </w:tr>
      <w:tr w:rsidR="00CA5CB7" w14:paraId="413D8A11" w14:textId="77777777" w:rsidTr="008B6874">
        <w:tc>
          <w:tcPr>
            <w:tcW w:w="9355" w:type="dxa"/>
            <w:gridSpan w:val="2"/>
          </w:tcPr>
          <w:p w14:paraId="5C4E41C2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D4338">
              <w:rPr>
                <w:rFonts w:ascii="Times New Roman" w:hAnsi="Times New Roman"/>
                <w:bCs/>
                <w:sz w:val="20"/>
              </w:rPr>
              <w:t>723 – Management</w:t>
            </w:r>
          </w:p>
        </w:tc>
      </w:tr>
      <w:tr w:rsidR="00CA5CB7" w14:paraId="54B54D61" w14:textId="77777777" w:rsidTr="008B6874">
        <w:tc>
          <w:tcPr>
            <w:tcW w:w="9355" w:type="dxa"/>
            <w:gridSpan w:val="2"/>
          </w:tcPr>
          <w:p w14:paraId="70E678CD" w14:textId="77777777" w:rsidR="00CA5CB7" w:rsidRPr="004C0112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</w:tbl>
    <w:p w14:paraId="4A665449" w14:textId="77777777" w:rsidR="00CA5CB7" w:rsidRDefault="00CA5CB7" w:rsidP="00CA5CB7">
      <w:r w:rsidRPr="00ED4338">
        <w:rPr>
          <w:rFonts w:ascii="Times New Roman" w:hAnsi="Times New Roman"/>
          <w:b/>
          <w:bCs/>
          <w:i/>
          <w:iCs/>
          <w:sz w:val="22"/>
          <w:szCs w:val="22"/>
        </w:rPr>
        <w:t>Is this an online program</w:t>
      </w:r>
      <w:r w:rsidRPr="00ED4338">
        <w:rPr>
          <w:rFonts w:ascii="Times New Roman" w:hAnsi="Times New Roman"/>
          <w:sz w:val="22"/>
          <w:szCs w:val="22"/>
        </w:rPr>
        <w:t xml:space="preserve">? </w:t>
      </w:r>
      <w:r w:rsidRPr="00ED4338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ED4338">
        <w:rPr>
          <w:rFonts w:ascii="Times New Roman" w:hAnsi="Times New Roman"/>
          <w:sz w:val="22"/>
          <w:szCs w:val="22"/>
        </w:rPr>
        <w:instrText xml:space="preserve"> FORMCHECKBOX </w:instrText>
      </w:r>
      <w:r w:rsidR="006E6C47">
        <w:rPr>
          <w:rFonts w:ascii="Times New Roman" w:hAnsi="Times New Roman"/>
          <w:sz w:val="22"/>
          <w:szCs w:val="22"/>
        </w:rPr>
      </w:r>
      <w:r w:rsidR="006E6C47">
        <w:rPr>
          <w:rFonts w:ascii="Times New Roman" w:hAnsi="Times New Roman"/>
          <w:sz w:val="22"/>
          <w:szCs w:val="22"/>
        </w:rPr>
        <w:fldChar w:fldCharType="separate"/>
      </w:r>
      <w:r w:rsidRPr="00ED4338">
        <w:rPr>
          <w:rFonts w:ascii="Times New Roman" w:hAnsi="Times New Roman"/>
          <w:sz w:val="22"/>
          <w:szCs w:val="22"/>
        </w:rPr>
        <w:fldChar w:fldCharType="end"/>
      </w:r>
      <w:bookmarkEnd w:id="0"/>
      <w:r w:rsidRPr="00ED4338">
        <w:rPr>
          <w:rFonts w:ascii="Times New Roman" w:hAnsi="Times New Roman"/>
          <w:sz w:val="22"/>
          <w:szCs w:val="22"/>
        </w:rPr>
        <w:t xml:space="preserve"> Yes </w:t>
      </w:r>
      <w:r w:rsidRPr="00ED4338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4"/>
      <w:r w:rsidRPr="00ED4338">
        <w:rPr>
          <w:rFonts w:ascii="Times New Roman" w:hAnsi="Times New Roman"/>
          <w:sz w:val="22"/>
          <w:szCs w:val="22"/>
        </w:rPr>
        <w:instrText xml:space="preserve"> FORMCHECKBOX </w:instrText>
      </w:r>
      <w:r w:rsidR="006E6C47">
        <w:rPr>
          <w:rFonts w:ascii="Times New Roman" w:hAnsi="Times New Roman"/>
          <w:sz w:val="22"/>
          <w:szCs w:val="22"/>
        </w:rPr>
      </w:r>
      <w:r w:rsidR="006E6C47">
        <w:rPr>
          <w:rFonts w:ascii="Times New Roman" w:hAnsi="Times New Roman"/>
          <w:sz w:val="22"/>
          <w:szCs w:val="22"/>
        </w:rPr>
        <w:fldChar w:fldCharType="separate"/>
      </w:r>
      <w:r w:rsidRPr="00ED4338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ED4338">
        <w:rPr>
          <w:rFonts w:ascii="Times New Roman" w:hAnsi="Times New Roman"/>
          <w:sz w:val="22"/>
          <w:szCs w:val="22"/>
        </w:rPr>
        <w:t xml:space="preserve"> No</w:t>
      </w:r>
    </w:p>
    <w:tbl>
      <w:tblPr>
        <w:tblpPr w:leftFromText="187" w:rightFromText="187" w:vertAnchor="text" w:horzAnchor="margin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5850"/>
        <w:gridCol w:w="1080"/>
        <w:gridCol w:w="990"/>
      </w:tblGrid>
      <w:tr w:rsidR="00CA5CB7" w:rsidRPr="00964DD0" w14:paraId="1C7E97F3" w14:textId="77777777" w:rsidTr="008B6874">
        <w:trPr>
          <w:trHeight w:val="144"/>
        </w:trPr>
        <w:tc>
          <w:tcPr>
            <w:tcW w:w="935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52BC4A63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Use this page to list learning outcomes, measurements, and summarize results for your program.  Detailed information must be completed in the subsequent pages.</w:t>
            </w:r>
          </w:p>
        </w:tc>
      </w:tr>
      <w:tr w:rsidR="00CA5CB7" w:rsidRPr="00964DD0" w14:paraId="481A08A6" w14:textId="77777777" w:rsidTr="008B6874">
        <w:trPr>
          <w:trHeight w:val="144"/>
        </w:trPr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F9812E7" w14:textId="77777777" w:rsidR="00CA5CB7" w:rsidRPr="00ED4338" w:rsidRDefault="00803CF5" w:rsidP="00565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Student Learning Outcome 1</w:t>
            </w:r>
            <w:r w:rsidR="00CA5CB7" w:rsidRPr="00ED4338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="00CA5CB7" w:rsidRPr="00ED4338">
              <w:t xml:space="preserve"> </w:t>
            </w:r>
            <w:r w:rsidR="00CA5CB7" w:rsidRPr="00ED4338">
              <w:rPr>
                <w:rFonts w:ascii="Times New Roman" w:hAnsi="Times New Roman"/>
                <w:b/>
                <w:bCs/>
                <w:sz w:val="20"/>
              </w:rPr>
              <w:t xml:space="preserve">Students will be able to define general business principles. </w:t>
            </w:r>
          </w:p>
        </w:tc>
      </w:tr>
      <w:tr w:rsidR="00CA5CB7" w:rsidRPr="00964DD0" w14:paraId="4A61A70B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9CAB541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60983622" w14:textId="77777777" w:rsidR="00CA5CB7" w:rsidRPr="007C50FC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Senior Exit Exam – General questions.</w:t>
            </w:r>
          </w:p>
        </w:tc>
      </w:tr>
      <w:tr w:rsidR="00CA5CB7" w:rsidRPr="00964DD0" w14:paraId="1509E267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F523208" w14:textId="77777777" w:rsidR="00CA5CB7" w:rsidRPr="00DE36A5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F561900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5CB7" w:rsidRPr="00964DD0" w14:paraId="4DAFDC24" w14:textId="77777777" w:rsidTr="008B6874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73F553F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3B624D6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5CB7" w:rsidRPr="00964DD0" w14:paraId="52CAFCCE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6E9D25F8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1.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C69395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18719A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5CBE04BD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515F33" w14:textId="77777777" w:rsidR="00CA5CB7" w:rsidRPr="00407498" w:rsidRDefault="00803CF5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CA5CB7" w:rsidRPr="00407498">
              <w:t xml:space="preserve">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principles specific to their disciplines.</w:t>
            </w:r>
            <w:r w:rsidR="00CA5CB7" w:rsidRPr="00407498">
              <w:t xml:space="preserve"> </w:t>
            </w:r>
          </w:p>
        </w:tc>
      </w:tr>
      <w:tr w:rsidR="00CA5CB7" w:rsidRPr="00964DD0" w14:paraId="33D8CB90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0C89F01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69D4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B88A2C3" w14:textId="77777777" w:rsidR="00CA5CB7" w:rsidRPr="007C50FC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Senior Exit Exam – Discipline specific questions.</w:t>
            </w:r>
          </w:p>
        </w:tc>
      </w:tr>
      <w:tr w:rsidR="00CA5CB7" w:rsidRPr="00964DD0" w14:paraId="7B31CF97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F06258C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49DB3FF7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4B0FAA29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0F5C8BE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02308A7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46AE9663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32FFC947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2.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D96F3A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8CD405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5EFD3E62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2CC3440" w14:textId="77777777" w:rsidR="00CA5CB7" w:rsidRPr="00407498" w:rsidRDefault="00803CF5" w:rsidP="00803CF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3: </w:t>
            </w:r>
            <w:r w:rsidR="00CA5CB7" w:rsidRPr="00407498">
              <w:t xml:space="preserve"> </w:t>
            </w:r>
            <w:r w:rsidR="00CA5CB7"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demonstrate the ability to communicate professionally.</w:t>
            </w:r>
            <w:r w:rsidR="00CA5CB7" w:rsidRPr="00407498">
              <w:t xml:space="preserve"> </w:t>
            </w:r>
          </w:p>
        </w:tc>
      </w:tr>
      <w:tr w:rsidR="00CA5CB7" w:rsidRPr="00964DD0" w14:paraId="18641EAC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44F2C37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98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5C60020F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shd w:val="clear" w:color="auto" w:fill="auto"/>
          </w:tcPr>
          <w:p w14:paraId="6A3BEF9C" w14:textId="77777777" w:rsidR="00CA5CB7" w:rsidRPr="007C50FC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0FC">
              <w:rPr>
                <w:rFonts w:ascii="Times New Roman" w:hAnsi="Times New Roman"/>
                <w:bCs/>
                <w:sz w:val="20"/>
                <w:szCs w:val="20"/>
              </w:rPr>
              <w:t xml:space="preserve">FIFA Case submissions from Drs. Liang and Meggers’ MGT 498 (Strategic Management) were evaluated using the GFCB rubric for Written Communication.   </w:t>
            </w:r>
          </w:p>
        </w:tc>
      </w:tr>
      <w:tr w:rsidR="00CA5CB7" w:rsidRPr="00964DD0" w14:paraId="34EC9598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3F96EA5" w14:textId="77777777" w:rsidR="00CA5CB7" w:rsidRPr="00DE36A5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6A5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31698B1" w14:textId="77777777" w:rsidR="00CA5CB7" w:rsidRPr="00374241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5B31AD7C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333B325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16C84DC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5CB7" w:rsidRPr="00964DD0" w14:paraId="18D7A458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BD9456A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3.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48C567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C9EEB6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CA5CB7" w:rsidRPr="00964DD0" w14:paraId="606C761D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3C890EC" w14:textId="77777777" w:rsidR="00CA5CB7" w:rsidRPr="00407498" w:rsidRDefault="00CA5CB7" w:rsidP="00565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</w:t>
            </w:r>
            <w:r w:rsidR="00803CF5">
              <w:rPr>
                <w:rFonts w:ascii="Times New Roman" w:hAnsi="Times New Roman"/>
                <w:b/>
                <w:bCs/>
                <w:sz w:val="20"/>
                <w:szCs w:val="20"/>
              </w:rPr>
              <w:t>ome 4</w:t>
            </w:r>
            <w:r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407498">
              <w:t xml:space="preserve"> </w:t>
            </w:r>
            <w:r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articulate the importance of working in diverse teams to create successful outcomes.</w:t>
            </w:r>
            <w:r w:rsidRPr="00407498">
              <w:t xml:space="preserve"> </w:t>
            </w:r>
          </w:p>
        </w:tc>
      </w:tr>
      <w:tr w:rsidR="00CA5CB7" w:rsidRPr="00964DD0" w14:paraId="7EF71DBB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3BFC2235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498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52B925C4" w14:textId="77777777" w:rsidR="00CA5CB7" w:rsidRPr="00407498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shd w:val="clear" w:color="auto" w:fill="auto"/>
          </w:tcPr>
          <w:p w14:paraId="23EABA3B" w14:textId="77777777" w:rsidR="00CA5CB7" w:rsidRPr="007C50FC" w:rsidRDefault="00CA5CB7" w:rsidP="00407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50FC">
              <w:rPr>
                <w:rFonts w:ascii="Times New Roman" w:hAnsi="Times New Roman"/>
                <w:bCs/>
                <w:sz w:val="20"/>
                <w:szCs w:val="20"/>
              </w:rPr>
              <w:t xml:space="preserve">Student reflection on teamwork submissions from Dr. Yates’ MGT 305 (Critical Thinking) were evaluated </w:t>
            </w:r>
            <w:r w:rsidRPr="007C50FC">
              <w:rPr>
                <w:rFonts w:ascii="Times New Roman" w:hAnsi="Times New Roman"/>
                <w:sz w:val="20"/>
                <w:szCs w:val="20"/>
              </w:rPr>
              <w:t>using the Management Department’s rubric for</w:t>
            </w:r>
            <w:r w:rsidRPr="007C50FC">
              <w:t xml:space="preserve"> </w:t>
            </w:r>
            <w:r w:rsidRPr="007C50FC">
              <w:rPr>
                <w:rFonts w:ascii="Times New Roman" w:hAnsi="Times New Roman"/>
                <w:sz w:val="20"/>
                <w:szCs w:val="20"/>
              </w:rPr>
              <w:t xml:space="preserve">Diverse Team. </w:t>
            </w:r>
          </w:p>
        </w:tc>
      </w:tr>
      <w:tr w:rsidR="00CA5CB7" w:rsidRPr="00964DD0" w14:paraId="43EC2641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93C86E4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520FD1B0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5B044411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58452DE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506C04E2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01590A46" w14:textId="77777777" w:rsidTr="008B6874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4DB42494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</w:t>
            </w:r>
            <w:r w:rsidR="008527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goal Student Learning Outcome 4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EC2AE5" w14:textId="77777777" w:rsidR="00CA5CB7" w:rsidRPr="00CA1A91" w:rsidRDefault="00407498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A9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A9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A1A9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CA5CB7" w:rsidRPr="00CA1A91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36409A" w14:textId="77777777" w:rsidR="00CA5CB7" w:rsidRPr="00CA1A91" w:rsidRDefault="00407498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A91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1A91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A1A91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CA5CB7" w:rsidRPr="00CA1A91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CA5CB7" w:rsidRPr="00964DD0" w14:paraId="233DD485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FEBC6FE" w14:textId="77777777" w:rsidR="00CA5CB7" w:rsidRPr="002C7135" w:rsidRDefault="00803CF5" w:rsidP="00565B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5</w:t>
            </w:r>
            <w:r w:rsidR="00CA5CB7" w:rsidRPr="002C71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CA5CB7" w:rsidRPr="002C7135">
              <w:t xml:space="preserve"> </w:t>
            </w:r>
            <w:r w:rsidR="00CA5CB7" w:rsidRPr="002C7135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synthesize information from a variety of sources to create solutions for business problems.</w:t>
            </w:r>
          </w:p>
        </w:tc>
      </w:tr>
      <w:tr w:rsidR="00CA5CB7" w:rsidRPr="00964DD0" w14:paraId="1CE65BB5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60EB3E2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4D17961B" w14:textId="77777777" w:rsidR="00CA5CB7" w:rsidRPr="007C50FC" w:rsidRDefault="00CA5CB7" w:rsidP="0052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50FC">
              <w:rPr>
                <w:rFonts w:ascii="Times New Roman" w:hAnsi="Times New Roman"/>
                <w:sz w:val="20"/>
                <w:szCs w:val="20"/>
              </w:rPr>
              <w:t>Ford Case submissions from Dr. Spiller’s MGT498 (Strategic Management) were evaluated using the GFCB rubric for Critical Thinking</w:t>
            </w:r>
            <w:r w:rsidR="001A4304" w:rsidRPr="007C50F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A4304" w:rsidRPr="007C50FC">
              <w:rPr>
                <w:rFonts w:ascii="Times New Roman" w:hAnsi="Times New Roman"/>
                <w:bCs/>
                <w:sz w:val="20"/>
                <w:szCs w:val="20"/>
              </w:rPr>
              <w:t>FIFA Case submissions from Drs. Liang and Meggers’ MGT 498 (Strategic Management) were evaluated using the GFCB rubric for Legal and Ethical Awareness</w:t>
            </w:r>
            <w:r w:rsidRPr="007C50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5CB7" w:rsidRPr="00964DD0" w14:paraId="70BFA859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C58F6AF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0BFC7FCE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CA5CB7" w:rsidRPr="00964DD0" w14:paraId="45F2F2F4" w14:textId="77777777" w:rsidTr="008B6874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3AA461D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365069AD" w14:textId="77777777" w:rsidR="00CA5CB7" w:rsidRPr="008D6F70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914628" w:rsidRPr="00964DD0" w14:paraId="496C242D" w14:textId="77777777" w:rsidTr="0036109F">
        <w:tc>
          <w:tcPr>
            <w:tcW w:w="728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45F6411" w14:textId="77777777" w:rsidR="00914628" w:rsidRPr="00FF3DCE" w:rsidRDefault="00914628" w:rsidP="00914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</w:t>
            </w:r>
            <w:r w:rsidR="008527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goal Student Learning Outcome 5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8EA975" w14:textId="77777777" w:rsidR="00914628" w:rsidRPr="00280EF7" w:rsidRDefault="00914628" w:rsidP="0091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t xml:space="preserve"> 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07B9B5" w14:textId="77777777" w:rsidR="00914628" w:rsidRPr="00280EF7" w:rsidRDefault="00914628" w:rsidP="00914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</w:r>
            <w:r w:rsidR="006E6C47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80EF7">
              <w:rPr>
                <w:rFonts w:ascii="Times New Roman" w:hAnsi="Times New Roman"/>
                <w:b/>
                <w:sz w:val="20"/>
                <w:szCs w:val="20"/>
              </w:rPr>
              <w:t xml:space="preserve"> Not Met</w:t>
            </w:r>
          </w:p>
        </w:tc>
      </w:tr>
      <w:tr w:rsidR="00CA5CB7" w:rsidRPr="00964DD0" w14:paraId="3557DB6B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4B4C0DE" w14:textId="77777777" w:rsidR="00CA5CB7" w:rsidRPr="00FF3DCE" w:rsidRDefault="00CA5CB7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</w:p>
        </w:tc>
      </w:tr>
      <w:tr w:rsidR="00CA5CB7" w:rsidRPr="00964DD0" w14:paraId="3C8463BB" w14:textId="77777777" w:rsidTr="008B6874">
        <w:tc>
          <w:tcPr>
            <w:tcW w:w="935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6895863" w14:textId="77777777" w:rsidR="00CA5CB7" w:rsidRPr="00CA1A91" w:rsidRDefault="00CA5CB7" w:rsidP="00BA1F01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A1A91">
              <w:rPr>
                <w:rFonts w:ascii="Times New Roman" w:hAnsi="Times New Roman"/>
                <w:b/>
                <w:bCs/>
                <w:sz w:val="20"/>
              </w:rPr>
              <w:t xml:space="preserve">Overall, we met </w:t>
            </w:r>
            <w:r w:rsidR="002C7135" w:rsidRPr="00CA1A91">
              <w:rPr>
                <w:rFonts w:ascii="Times New Roman" w:hAnsi="Times New Roman"/>
                <w:b/>
                <w:bCs/>
                <w:sz w:val="20"/>
              </w:rPr>
              <w:t>four out of</w:t>
            </w:r>
            <w:r w:rsidRPr="00CA1A91">
              <w:rPr>
                <w:rFonts w:ascii="Times New Roman" w:hAnsi="Times New Roman"/>
                <w:b/>
                <w:bCs/>
                <w:sz w:val="20"/>
              </w:rPr>
              <w:t xml:space="preserve"> five learning objectives for AY 2021-22.  </w:t>
            </w:r>
          </w:p>
          <w:p w14:paraId="5E109080" w14:textId="77777777" w:rsidR="0093149A" w:rsidRPr="00CA1A91" w:rsidRDefault="0093149A" w:rsidP="00BA1F0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DF2BF9F" w14:textId="77777777" w:rsidR="00CA5CB7" w:rsidRDefault="00CA5CB7" w:rsidP="00CA5CB7"/>
    <w:p w14:paraId="24AE0391" w14:textId="77777777" w:rsidR="00565BD4" w:rsidRDefault="00565BD4">
      <w:pPr>
        <w:spacing w:after="160" w:line="259" w:lineRule="auto"/>
      </w:pPr>
      <w:r>
        <w:br w:type="page"/>
      </w:r>
    </w:p>
    <w:p w14:paraId="42CB8C1F" w14:textId="77777777" w:rsidR="00565BD4" w:rsidRDefault="00565BD4" w:rsidP="00CA5CB7"/>
    <w:tbl>
      <w:tblPr>
        <w:tblpPr w:leftFromText="187" w:rightFromText="187" w:vertAnchor="text" w:horzAnchor="margin" w:tblpY="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431"/>
        <w:gridCol w:w="366"/>
        <w:gridCol w:w="1896"/>
        <w:gridCol w:w="2150"/>
        <w:gridCol w:w="18"/>
        <w:gridCol w:w="1169"/>
        <w:gridCol w:w="1520"/>
      </w:tblGrid>
      <w:tr w:rsidR="00631C6E" w:rsidRPr="00964DD0" w14:paraId="339B5B54" w14:textId="77777777" w:rsidTr="00516C49">
        <w:trPr>
          <w:trHeight w:val="144"/>
        </w:trPr>
        <w:tc>
          <w:tcPr>
            <w:tcW w:w="998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5CB4ED1" w14:textId="77777777" w:rsidR="00631C6E" w:rsidRPr="001E35D2" w:rsidRDefault="00631C6E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631C6E" w:rsidRPr="00964DD0" w14:paraId="5E372C68" w14:textId="77777777" w:rsidTr="00516C49">
        <w:trPr>
          <w:trHeight w:val="323"/>
        </w:trPr>
        <w:tc>
          <w:tcPr>
            <w:tcW w:w="2866" w:type="dxa"/>
            <w:gridSpan w:val="2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A0B7038" w14:textId="77777777" w:rsidR="00631C6E" w:rsidRPr="00EB65C8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19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3DCF1DA" w14:textId="77777777" w:rsidR="00631C6E" w:rsidRPr="00732180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general business principles.</w:t>
            </w:r>
          </w:p>
        </w:tc>
      </w:tr>
      <w:tr w:rsidR="00631C6E" w:rsidRPr="00964DD0" w14:paraId="05B0E527" w14:textId="77777777" w:rsidTr="00516C49">
        <w:trPr>
          <w:trHeight w:val="36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AF876C" w14:textId="77777777" w:rsidR="00631C6E" w:rsidRPr="005D68AF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9EAF474" w14:textId="77777777" w:rsidR="00631C6E" w:rsidRPr="005D68AF" w:rsidRDefault="00732180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Senior Exit Exam – General questions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31C6E" w:rsidRPr="00964DD0" w14:paraId="651051A4" w14:textId="77777777" w:rsidTr="00516C49">
        <w:tc>
          <w:tcPr>
            <w:tcW w:w="286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53C8EE" w14:textId="77777777" w:rsidR="00631C6E" w:rsidRPr="001160F4" w:rsidRDefault="00631C6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504268" w14:textId="77777777" w:rsidR="00631C6E" w:rsidRPr="0042624C" w:rsidRDefault="0042624C" w:rsidP="004262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Score of 70 or higher on the senior exit exam.  </w:t>
            </w:r>
          </w:p>
        </w:tc>
      </w:tr>
      <w:tr w:rsidR="00631C6E" w:rsidRPr="00964DD0" w14:paraId="245CDF25" w14:textId="77777777" w:rsidTr="00516C49">
        <w:tc>
          <w:tcPr>
            <w:tcW w:w="3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18F3D1" w14:textId="77777777" w:rsidR="00631C6E" w:rsidRPr="00964DD0" w:rsidRDefault="00631C6E" w:rsidP="00245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5E4E80B3" w14:textId="77777777" w:rsidR="00631C6E" w:rsidRPr="00964DD0" w:rsidRDefault="0042624C" w:rsidP="0042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17A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AC42D3" w14:textId="77777777" w:rsidR="00631C6E" w:rsidRPr="00C4455B" w:rsidRDefault="00631C6E" w:rsidP="00245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8C4C6D" w14:textId="77777777" w:rsidR="00631C6E" w:rsidRPr="00B6217A" w:rsidRDefault="0042624C" w:rsidP="0042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 w:rsidRPr="00B6217A">
              <w:rPr>
                <w:rFonts w:ascii="Times New Roman" w:hAnsi="Times New Roman"/>
                <w:b/>
                <w:sz w:val="20"/>
                <w:szCs w:val="20"/>
              </w:rPr>
              <w:t>86.5%</w:t>
            </w:r>
          </w:p>
        </w:tc>
      </w:tr>
      <w:tr w:rsidR="00B6217A" w:rsidRPr="00964DD0" w14:paraId="5BA31A1D" w14:textId="77777777" w:rsidTr="00516C49">
        <w:trPr>
          <w:trHeight w:val="613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E95759" w14:textId="77777777" w:rsidR="00B6217A" w:rsidRPr="00EB65C8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7C8C10F" w14:textId="77777777" w:rsidR="00B6217A" w:rsidRPr="00964DD0" w:rsidRDefault="00B6217A" w:rsidP="00B76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Determined the number of students who scored a 70 or higher on the senior exit exam that is given to all graduating Management students during their final semester. Of </w:t>
            </w:r>
            <w:r w:rsidRPr="00887998">
              <w:rPr>
                <w:rFonts w:ascii="Times New Roman" w:hAnsi="Times New Roman"/>
                <w:sz w:val="20"/>
                <w:szCs w:val="20"/>
              </w:rPr>
              <w:t>the 170 Business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administration majors graduating 2021-2022</w:t>
            </w:r>
            <w:r w:rsidRPr="00887998">
              <w:rPr>
                <w:rFonts w:ascii="Times New Roman" w:hAnsi="Times New Roman"/>
                <w:sz w:val="20"/>
                <w:szCs w:val="20"/>
              </w:rPr>
              <w:t>, 147 students (86.5%)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achieved a score of 70% or higher. </w:t>
            </w:r>
          </w:p>
        </w:tc>
      </w:tr>
      <w:tr w:rsidR="00B6217A" w:rsidRPr="00964DD0" w14:paraId="01AF4ECF" w14:textId="77777777" w:rsidTr="00516C49"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B2DB72F" w14:textId="77777777" w:rsidR="00B6217A" w:rsidRPr="002456F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4816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20D75267" w14:textId="77777777" w:rsidTr="00516C49">
        <w:tc>
          <w:tcPr>
            <w:tcW w:w="286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D6F145F" w14:textId="77777777" w:rsidR="00B6217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96D4AB1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2CEA2AD0" w14:textId="77777777" w:rsidTr="00516C49">
        <w:tc>
          <w:tcPr>
            <w:tcW w:w="3232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F80F4AF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1137D16B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2569A275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8A18E6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47490D02" w14:textId="77777777" w:rsidTr="00516C49">
        <w:trPr>
          <w:trHeight w:val="302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793FAF" w14:textId="77777777" w:rsidR="00B6217A" w:rsidRPr="0054609C" w:rsidRDefault="00B6217A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F968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5E7C9BC7" w14:textId="77777777" w:rsidTr="00516C49">
        <w:trPr>
          <w:trHeight w:val="293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884D3E0" w14:textId="77777777" w:rsidR="00B6217A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2385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7A110EBA" w14:textId="77777777" w:rsidTr="00516C49">
        <w:trPr>
          <w:trHeight w:val="248"/>
        </w:trPr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7101E0" w14:textId="77777777" w:rsidR="00B6217A" w:rsidRPr="00EB65C8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CD63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0D161AB9" w14:textId="77777777" w:rsidTr="00516C49">
        <w:tc>
          <w:tcPr>
            <w:tcW w:w="323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B6EE583" w14:textId="77777777" w:rsidR="00B6217A" w:rsidRPr="002456F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6867BAD0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76B0E0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C701E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75C13FF4" w14:textId="77777777" w:rsidTr="00516C49"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0BED4C" w14:textId="77777777" w:rsidR="00B6217A" w:rsidRPr="0054609C" w:rsidRDefault="00B6217A" w:rsidP="00CF13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B3806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07643AB7" w14:textId="77777777" w:rsidTr="00516C49">
        <w:tc>
          <w:tcPr>
            <w:tcW w:w="7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F6490" w14:textId="77777777" w:rsidR="00B6217A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76819198" w14:textId="77777777" w:rsidR="00B6217A" w:rsidRPr="003A32E4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B77A4" w14:textId="77777777" w:rsidR="00B6217A" w:rsidRPr="003A32E4" w:rsidRDefault="00CF138E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 w:rsidR="00B621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6217A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BF7F" w14:textId="77777777" w:rsidR="00B6217A" w:rsidRPr="003A32E4" w:rsidRDefault="00B6217A" w:rsidP="00B62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B6217A" w:rsidRPr="00964DD0" w14:paraId="7F529C23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B2D2E36" w14:textId="77777777" w:rsidR="00B6217A" w:rsidRPr="0054609C" w:rsidRDefault="00B6217A" w:rsidP="00B621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B6217A" w:rsidRPr="00964DD0" w14:paraId="011DF353" w14:textId="77777777" w:rsidTr="00516C49">
        <w:trPr>
          <w:trHeight w:val="701"/>
        </w:trPr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F3CF8B5" w14:textId="77777777" w:rsidR="00B6217A" w:rsidRPr="0054609C" w:rsidRDefault="00B6217A" w:rsidP="00B6217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217A" w:rsidRPr="00964DD0" w14:paraId="7AB67963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50C7A23" w14:textId="77777777" w:rsidR="00B6217A" w:rsidRPr="006E294C" w:rsidRDefault="00B6217A" w:rsidP="00B6217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B6217A" w:rsidRPr="00964DD0" w14:paraId="0BB14573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55BCD44" w14:textId="77777777" w:rsidR="00B6217A" w:rsidRDefault="00B6217A" w:rsidP="00B6217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DDE7EBF" w14:textId="77777777" w:rsidR="00B6217A" w:rsidRPr="006E294C" w:rsidRDefault="00B6217A" w:rsidP="00B6217A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B6217A" w:rsidRPr="00964DD0" w14:paraId="6ECD1814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AC1FB29" w14:textId="77777777" w:rsidR="00B6217A" w:rsidRDefault="00B6217A" w:rsidP="00B6217A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B6217A" w:rsidRPr="00964DD0" w14:paraId="1D77B729" w14:textId="77777777" w:rsidTr="00516C49">
        <w:tc>
          <w:tcPr>
            <w:tcW w:w="998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D219C58" w14:textId="77777777" w:rsidR="00B6217A" w:rsidRPr="00AE0AA9" w:rsidRDefault="00AE0AA9" w:rsidP="00507358">
            <w:pPr>
              <w:jc w:val="both"/>
              <w:rPr>
                <w:rFonts w:ascii="Times New Roman" w:hAnsi="Times New Roman"/>
                <w:sz w:val="20"/>
              </w:rPr>
            </w:pP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 w:rsidR="00507358"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2023. Senior exit exam results will be collected in May 2023. The departmental AOL representatives and the faculty members in charge of the exit exam will collect the artifacts. </w:t>
            </w:r>
          </w:p>
        </w:tc>
      </w:tr>
    </w:tbl>
    <w:p w14:paraId="14BA558C" w14:textId="77777777" w:rsidR="00C60B7A" w:rsidRDefault="00C60B7A"/>
    <w:p w14:paraId="4B70916F" w14:textId="77777777" w:rsidR="0065330B" w:rsidRDefault="0065330B">
      <w:pPr>
        <w:spacing w:after="160" w:line="259" w:lineRule="auto"/>
      </w:pPr>
    </w:p>
    <w:p w14:paraId="3888244B" w14:textId="77777777" w:rsidR="00273FA0" w:rsidRDefault="00273FA0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987"/>
        <w:gridCol w:w="1896"/>
        <w:gridCol w:w="2150"/>
        <w:gridCol w:w="18"/>
        <w:gridCol w:w="1169"/>
        <w:gridCol w:w="1430"/>
      </w:tblGrid>
      <w:tr w:rsidR="0065330B" w:rsidRPr="00964DD0" w14:paraId="4795FDF5" w14:textId="77777777" w:rsidTr="00D167D3">
        <w:trPr>
          <w:trHeight w:val="144"/>
        </w:trPr>
        <w:tc>
          <w:tcPr>
            <w:tcW w:w="989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59E52A56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65330B" w:rsidRPr="00964DD0" w14:paraId="7439EBF7" w14:textId="77777777" w:rsidTr="00D167D3">
        <w:trPr>
          <w:trHeight w:val="323"/>
        </w:trPr>
        <w:tc>
          <w:tcPr>
            <w:tcW w:w="224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03C7C3D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0B772101" w14:textId="77777777" w:rsidR="0065330B" w:rsidRPr="00732180" w:rsidRDefault="00732180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2180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define principles specific to their disciplines.</w:t>
            </w:r>
          </w:p>
        </w:tc>
      </w:tr>
      <w:tr w:rsidR="007D16FE" w:rsidRPr="00964DD0" w14:paraId="146BBF0F" w14:textId="77777777" w:rsidTr="00D167D3">
        <w:trPr>
          <w:trHeight w:val="36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1E634E" w14:textId="77777777" w:rsidR="007D16FE" w:rsidRPr="005D68AF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1D49BDA" w14:textId="77777777" w:rsidR="007D16FE" w:rsidRPr="007D16FE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sz w:val="20"/>
                <w:szCs w:val="20"/>
              </w:rPr>
              <w:t>Senior Exit Exam – Discipline specific questions.</w:t>
            </w:r>
          </w:p>
        </w:tc>
      </w:tr>
      <w:tr w:rsidR="005E3DF7" w:rsidRPr="00964DD0" w14:paraId="0DE2AF01" w14:textId="77777777" w:rsidTr="00D167D3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8D5328" w14:textId="77777777" w:rsidR="005E3DF7" w:rsidRPr="001160F4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BBDB8E" w14:textId="77777777" w:rsidR="005E3DF7" w:rsidRPr="0042624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>Score of 70 or higher on the senior exit exam</w:t>
            </w:r>
            <w:r w:rsidR="00C64771">
              <w:rPr>
                <w:rFonts w:ascii="Times New Roman" w:hAnsi="Times New Roman"/>
                <w:b/>
                <w:sz w:val="20"/>
                <w:szCs w:val="20"/>
              </w:rPr>
              <w:t>, discipline specific questions</w:t>
            </w:r>
            <w:r w:rsidRPr="004B24E5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</w:tr>
      <w:tr w:rsidR="005E3DF7" w:rsidRPr="00964DD0" w14:paraId="69485EB1" w14:textId="77777777" w:rsidTr="00D167D3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C6079BA" w14:textId="77777777" w:rsidR="005E3DF7" w:rsidRPr="00964DD0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2C2AAF89" w14:textId="77777777" w:rsidR="005E3DF7" w:rsidRPr="005E3DF7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DF7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9CE1E0" w14:textId="77777777" w:rsidR="005E3DF7" w:rsidRPr="00C4455B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9236AD" w14:textId="77777777" w:rsidR="005E3DF7" w:rsidRPr="005E3DF7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DF7">
              <w:rPr>
                <w:rFonts w:ascii="Times New Roman" w:hAnsi="Times New Roman"/>
                <w:b/>
                <w:sz w:val="20"/>
                <w:szCs w:val="20"/>
              </w:rPr>
              <w:t>87.5%</w:t>
            </w:r>
          </w:p>
        </w:tc>
      </w:tr>
      <w:tr w:rsidR="005E3DF7" w:rsidRPr="00964DD0" w14:paraId="2877A2D1" w14:textId="77777777" w:rsidTr="00D167D3">
        <w:trPr>
          <w:trHeight w:val="613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8658FF5" w14:textId="77777777" w:rsidR="005E3DF7" w:rsidRPr="00EB65C8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B5073D0" w14:textId="77777777" w:rsidR="005E3DF7" w:rsidRPr="00964DD0" w:rsidRDefault="00C64771" w:rsidP="00E62E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Determined the number of students who scored a 70</w:t>
            </w:r>
            <w:r w:rsidR="007C50FC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higher on the senior exit exam that is given to all graduating Management students during their final semester. Of the </w:t>
            </w:r>
            <w:r w:rsidRPr="00212166">
              <w:rPr>
                <w:rFonts w:ascii="Times New Roman" w:hAnsi="Times New Roman"/>
                <w:sz w:val="20"/>
                <w:szCs w:val="20"/>
              </w:rPr>
              <w:t>168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Business administration majors graduating 2021-2022</w:t>
            </w:r>
            <w:r w:rsidR="00E62E1B">
              <w:rPr>
                <w:rFonts w:ascii="Times New Roman" w:hAnsi="Times New Roman"/>
                <w:sz w:val="20"/>
                <w:szCs w:val="20"/>
              </w:rPr>
              <w:t xml:space="preserve"> answering the discipline specific </w:t>
            </w:r>
            <w:r w:rsidR="00E62E1B" w:rsidRPr="00325B9F">
              <w:rPr>
                <w:rFonts w:ascii="Times New Roman" w:hAnsi="Times New Roman"/>
                <w:sz w:val="20"/>
                <w:szCs w:val="20"/>
              </w:rPr>
              <w:t>questions</w:t>
            </w:r>
            <w:r w:rsidRPr="00325B9F">
              <w:rPr>
                <w:rFonts w:ascii="Times New Roman" w:hAnsi="Times New Roman"/>
                <w:sz w:val="20"/>
                <w:szCs w:val="20"/>
              </w:rPr>
              <w:t>, 147 students (87.5%)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achieved a score of 70% or higher.</w:t>
            </w:r>
          </w:p>
        </w:tc>
      </w:tr>
      <w:tr w:rsidR="005E3DF7" w:rsidRPr="00964DD0" w14:paraId="5EA7D113" w14:textId="77777777" w:rsidTr="00D167D3"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0AE04DE" w14:textId="77777777" w:rsidR="005E3DF7" w:rsidRPr="002456FA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836C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53668278" w14:textId="77777777" w:rsidTr="00D167D3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70CB611" w14:textId="77777777" w:rsidR="005E3DF7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DB1A727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67250C72" w14:textId="77777777" w:rsidTr="00D167D3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EA826D0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33E5BEA6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0FCFABEB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030008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34177285" w14:textId="77777777" w:rsidTr="00D167D3">
        <w:trPr>
          <w:trHeight w:val="296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5B4D94" w14:textId="77777777" w:rsidR="005E3DF7" w:rsidRPr="0054609C" w:rsidRDefault="00433A12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A47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3FB47648" w14:textId="77777777" w:rsidTr="00D167D3"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2913229" w14:textId="77777777" w:rsidR="005E3DF7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FA35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5C3DC078" w14:textId="77777777" w:rsidTr="00D167D3"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2A8D63" w14:textId="77777777" w:rsidR="005E3DF7" w:rsidRPr="00EB65C8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6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D1A7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205934A3" w14:textId="77777777" w:rsidTr="00D167D3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80D9C67" w14:textId="77777777" w:rsidR="005E3DF7" w:rsidRPr="002456FA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4D35E8F8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374BDC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66019F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375C825C" w14:textId="77777777" w:rsidTr="00D167D3"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451F11" w14:textId="77777777" w:rsidR="005E3DF7" w:rsidRPr="0054609C" w:rsidRDefault="005E3DF7" w:rsidP="00433A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59E74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0E605DC0" w14:textId="77777777" w:rsidTr="00D167D3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01E26E" w14:textId="77777777" w:rsidR="005E3DF7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2A587C17" w14:textId="77777777" w:rsidR="005E3DF7" w:rsidRPr="003A32E4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D4803" w14:textId="77777777" w:rsidR="005E3DF7" w:rsidRPr="003A32E4" w:rsidRDefault="00433A12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E3D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E3DF7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063C5" w14:textId="77777777" w:rsidR="005E3DF7" w:rsidRPr="003A32E4" w:rsidRDefault="005E3DF7" w:rsidP="005E3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5E3DF7" w:rsidRPr="00964DD0" w14:paraId="75D295AF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1F958DB" w14:textId="77777777" w:rsidR="005E3DF7" w:rsidRPr="0054609C" w:rsidRDefault="005E3DF7" w:rsidP="005E3D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5E3DF7" w:rsidRPr="00964DD0" w14:paraId="6D9D740A" w14:textId="77777777" w:rsidTr="00D167D3">
        <w:trPr>
          <w:trHeight w:val="701"/>
        </w:trPr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AC54965" w14:textId="77777777" w:rsidR="005E3DF7" w:rsidRPr="0054609C" w:rsidRDefault="005E3DF7" w:rsidP="005E3D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3DF7" w:rsidRPr="00964DD0" w14:paraId="7216347C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4C79A75B" w14:textId="77777777" w:rsidR="005E3DF7" w:rsidRPr="006E294C" w:rsidRDefault="005E3DF7" w:rsidP="005E3DF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5E3DF7" w:rsidRPr="00964DD0" w14:paraId="657E2C3D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8E85E80" w14:textId="77777777" w:rsidR="005E3DF7" w:rsidRPr="006E294C" w:rsidRDefault="005E3DF7" w:rsidP="005E3DF7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5E3DF7" w:rsidRPr="00964DD0" w14:paraId="6452953E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47414E6" w14:textId="77777777" w:rsidR="005E3DF7" w:rsidRDefault="005E3DF7" w:rsidP="005E3DF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433A12" w:rsidRPr="00964DD0" w14:paraId="25C59665" w14:textId="77777777" w:rsidTr="00D167D3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4F34559F" w14:textId="77777777" w:rsidR="00433A12" w:rsidRPr="00AE0AA9" w:rsidRDefault="00433A12" w:rsidP="00D167D3">
            <w:pPr>
              <w:jc w:val="both"/>
              <w:rPr>
                <w:rFonts w:ascii="Times New Roman" w:hAnsi="Times New Roman"/>
                <w:sz w:val="20"/>
              </w:rPr>
            </w:pP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 w:rsidR="00D167D3"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2023. Senior exit exam results will be collected in May 2023. The departmental AOL representatives and the faculty members in charge of the exit exam will collect the artifacts. </w:t>
            </w:r>
          </w:p>
        </w:tc>
      </w:tr>
    </w:tbl>
    <w:p w14:paraId="28276E2B" w14:textId="77777777" w:rsidR="00273FA0" w:rsidRDefault="00273FA0"/>
    <w:p w14:paraId="0BBA3A6C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67"/>
        <w:gridCol w:w="1896"/>
        <w:gridCol w:w="2150"/>
        <w:gridCol w:w="18"/>
        <w:gridCol w:w="1169"/>
        <w:gridCol w:w="1430"/>
      </w:tblGrid>
      <w:tr w:rsidR="0065330B" w:rsidRPr="00964DD0" w14:paraId="34952ECD" w14:textId="77777777" w:rsidTr="00B06CCA">
        <w:trPr>
          <w:trHeight w:val="144"/>
        </w:trPr>
        <w:tc>
          <w:tcPr>
            <w:tcW w:w="989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025FE9B3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 w:rsidR="001E015A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65330B" w:rsidRPr="00964DD0" w14:paraId="62F71E56" w14:textId="77777777" w:rsidTr="00B06CCA">
        <w:trPr>
          <w:trHeight w:val="323"/>
        </w:trPr>
        <w:tc>
          <w:tcPr>
            <w:tcW w:w="206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A313FD9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30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6B3C5A" w14:textId="77777777" w:rsidR="0065330B" w:rsidRPr="007D16FE" w:rsidRDefault="007D16FE" w:rsidP="007D16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demonstrate the ability to communicate professionally. </w:t>
            </w:r>
          </w:p>
        </w:tc>
      </w:tr>
      <w:tr w:rsidR="0065330B" w:rsidRPr="00964DD0" w14:paraId="023564ED" w14:textId="77777777" w:rsidTr="00B06CCA">
        <w:trPr>
          <w:trHeight w:val="64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D53BAAF" w14:textId="77777777" w:rsidR="0065330B" w:rsidRPr="005D68AF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02DA590" w14:textId="77777777" w:rsidR="0065330B" w:rsidRPr="005D68AF" w:rsidRDefault="0035209C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0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FIFA Case submissions from Drs. Liang and Meggers’ MGT 498 (Strategic Management) were evaluated using the GFCB rubric for Written Communication.   </w:t>
            </w:r>
          </w:p>
        </w:tc>
      </w:tr>
      <w:tr w:rsidR="0065330B" w:rsidRPr="00964DD0" w14:paraId="52A7C5FA" w14:textId="77777777" w:rsidTr="00B06CCA"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56D82E1" w14:textId="77777777" w:rsidR="0065330B" w:rsidRPr="001160F4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42E714" w14:textId="77777777" w:rsidR="0065330B" w:rsidRPr="006F60B9" w:rsidRDefault="006F60B9" w:rsidP="006F60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 (acceptable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level from rubric) or higher.  </w:t>
            </w:r>
          </w:p>
        </w:tc>
      </w:tr>
      <w:tr w:rsidR="0065330B" w:rsidRPr="00964DD0" w14:paraId="4E06DEA9" w14:textId="77777777" w:rsidTr="00B06CCA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62EE40" w14:textId="77777777" w:rsidR="0065330B" w:rsidRPr="00964DD0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335ACC57" w14:textId="77777777" w:rsidR="0065330B" w:rsidRPr="006F60B9" w:rsidRDefault="006F60B9" w:rsidP="006F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0B9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D5DFD32" w14:textId="77777777" w:rsidR="0065330B" w:rsidRPr="00C4455B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6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C74DF7" w14:textId="77777777" w:rsidR="006F60B9" w:rsidRPr="006F60B9" w:rsidRDefault="006F60B9" w:rsidP="006F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 w:rsidRPr="006F60B9">
              <w:rPr>
                <w:rFonts w:ascii="Times New Roman" w:hAnsi="Times New Roman"/>
                <w:b/>
                <w:sz w:val="20"/>
                <w:szCs w:val="20"/>
              </w:rPr>
              <w:t>72%</w:t>
            </w:r>
          </w:p>
        </w:tc>
      </w:tr>
      <w:tr w:rsidR="0065330B" w:rsidRPr="00964DD0" w14:paraId="4A79526D" w14:textId="77777777" w:rsidTr="00B06CCA">
        <w:trPr>
          <w:trHeight w:val="485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98E2BE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3F7BB3" w14:textId="77777777" w:rsidR="0065330B" w:rsidRPr="00964DD0" w:rsidRDefault="004005BB" w:rsidP="004005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544A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 using the GFCB’s rubric for written communication.  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>Of that</w:t>
            </w:r>
            <w:r w:rsidRPr="0069544A">
              <w:rPr>
                <w:rFonts w:ascii="Times New Roman" w:hAnsi="Times New Roman"/>
                <w:bCs/>
                <w:sz w:val="20"/>
                <w:szCs w:val="20"/>
              </w:rPr>
              <w:t>, 21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students work scored a 3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or above. </w:t>
            </w:r>
          </w:p>
        </w:tc>
      </w:tr>
      <w:tr w:rsidR="0065330B" w:rsidRPr="00964DD0" w14:paraId="1ABBFD64" w14:textId="77777777" w:rsidTr="00B06CCA"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B5BF59E" w14:textId="77777777" w:rsidR="0065330B" w:rsidRPr="002456FA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75F6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1DE345C3" w14:textId="77777777" w:rsidTr="00B06CCA"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8F4A073" w14:textId="77777777" w:rsidR="0065330B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BBC3252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684C7DBF" w14:textId="77777777" w:rsidTr="00B06CCA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F818BE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72D9EEC3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2DA9A275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CA2078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07FE0547" w14:textId="77777777" w:rsidTr="00B06CCA">
        <w:trPr>
          <w:trHeight w:val="233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8106A4" w14:textId="77777777" w:rsidR="0065330B" w:rsidRPr="0054609C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9DE4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4F5F013B" w14:textId="77777777" w:rsidTr="00B06CCA">
        <w:trPr>
          <w:trHeight w:val="530"/>
        </w:trPr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1D3947" w14:textId="77777777" w:rsidR="0065330B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3361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63803CA5" w14:textId="77777777" w:rsidTr="00B06CCA"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ABF0AFB" w14:textId="77777777" w:rsidR="0065330B" w:rsidRPr="00EB65C8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78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ACA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23523A89" w14:textId="77777777" w:rsidTr="00B06CCA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9A36A0C" w14:textId="77777777" w:rsidR="0065330B" w:rsidRPr="002456FA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1D281B9D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B813EE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E14648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66494B46" w14:textId="77777777" w:rsidTr="00B06CCA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9C4F58" w14:textId="77777777" w:rsidR="0065330B" w:rsidRPr="0054609C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CB7F1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09D9C7BA" w14:textId="77777777" w:rsidTr="00B06CCA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D9BB83" w14:textId="77777777" w:rsidR="0065330B" w:rsidRPr="003A32E4" w:rsidRDefault="0065330B" w:rsidP="001A0E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B4676" w14:textId="77777777" w:rsidR="0065330B" w:rsidRPr="003A32E4" w:rsidRDefault="0069544A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65330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5330B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B0DB5" w14:textId="77777777" w:rsidR="0065330B" w:rsidRPr="003A32E4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5330B" w:rsidRPr="00964DD0" w14:paraId="7B978340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02CFDE80" w14:textId="77777777" w:rsidR="0065330B" w:rsidRPr="0054609C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65330B" w:rsidRPr="00964DD0" w14:paraId="7163EA0D" w14:textId="77777777" w:rsidTr="00B06CCA">
        <w:trPr>
          <w:trHeight w:val="701"/>
        </w:trPr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7E933BA3" w14:textId="77777777" w:rsidR="0065330B" w:rsidRPr="0054609C" w:rsidRDefault="0065330B" w:rsidP="0036109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330B" w:rsidRPr="00964DD0" w14:paraId="07DEC3F0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116EF15" w14:textId="77777777" w:rsidR="0065330B" w:rsidRPr="006E294C" w:rsidRDefault="0065330B" w:rsidP="0036109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65330B" w:rsidRPr="00964DD0" w14:paraId="2B08509C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080F705C" w14:textId="77777777" w:rsidR="0065330B" w:rsidRDefault="0065330B" w:rsidP="0036109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5356264E" w14:textId="77777777" w:rsidR="001A0EE5" w:rsidRPr="006E294C" w:rsidRDefault="001A0EE5" w:rsidP="0036109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5330B" w:rsidRPr="00964DD0" w14:paraId="71463A3F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79093514" w14:textId="77777777" w:rsidR="0065330B" w:rsidRDefault="0065330B" w:rsidP="0036109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65330B" w:rsidRPr="00964DD0" w14:paraId="54496E3E" w14:textId="77777777" w:rsidTr="00B06CCA">
        <w:tc>
          <w:tcPr>
            <w:tcW w:w="989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E357800" w14:textId="77777777" w:rsidR="0065330B" w:rsidRPr="001A0EE5" w:rsidRDefault="001A0EE5" w:rsidP="009F1249">
            <w:pPr>
              <w:jc w:val="both"/>
              <w:rPr>
                <w:rFonts w:ascii="Times New Roman" w:hAnsi="Times New Roman"/>
                <w:sz w:val="20"/>
              </w:rPr>
            </w:pP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 w:rsidR="009F1249"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2023. </w:t>
            </w:r>
            <w:r w:rsidR="009F1249">
              <w:rPr>
                <w:rFonts w:ascii="Times New Roman" w:hAnsi="Times New Roman"/>
                <w:sz w:val="20"/>
              </w:rPr>
              <w:t>Assignments</w:t>
            </w:r>
            <w:r>
              <w:rPr>
                <w:rFonts w:ascii="Times New Roman" w:hAnsi="Times New Roman"/>
                <w:sz w:val="20"/>
              </w:rPr>
              <w:t xml:space="preserve"> from MGT498 or a same level (400) class will be collected by</w:t>
            </w:r>
            <w:r w:rsidRPr="00AE0AA9">
              <w:rPr>
                <w:rFonts w:ascii="Times New Roman" w:hAnsi="Times New Roman"/>
                <w:sz w:val="20"/>
              </w:rPr>
              <w:t xml:space="preserve"> May 2023. The departmental AOL representatives and the facult</w:t>
            </w:r>
            <w:r>
              <w:rPr>
                <w:rFonts w:ascii="Times New Roman" w:hAnsi="Times New Roman"/>
                <w:sz w:val="20"/>
              </w:rPr>
              <w:t xml:space="preserve">y members </w:t>
            </w:r>
            <w:r w:rsidR="00397921">
              <w:rPr>
                <w:rFonts w:ascii="Times New Roman" w:hAnsi="Times New Roman"/>
                <w:sz w:val="20"/>
              </w:rPr>
              <w:t>teaching t</w:t>
            </w:r>
            <w:r>
              <w:rPr>
                <w:rFonts w:ascii="Times New Roman" w:hAnsi="Times New Roman"/>
                <w:sz w:val="20"/>
              </w:rPr>
              <w:t>he class</w:t>
            </w:r>
            <w:r w:rsidR="009F1249">
              <w:rPr>
                <w:rFonts w:ascii="Times New Roman" w:hAnsi="Times New Roman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E0AA9">
              <w:rPr>
                <w:rFonts w:ascii="Times New Roman" w:hAnsi="Times New Roman"/>
                <w:sz w:val="20"/>
              </w:rPr>
              <w:t xml:space="preserve">will collect the artifacts. </w:t>
            </w:r>
          </w:p>
        </w:tc>
      </w:tr>
    </w:tbl>
    <w:p w14:paraId="20171CFD" w14:textId="77777777" w:rsidR="0065330B" w:rsidRDefault="0065330B"/>
    <w:p w14:paraId="31BFCEEF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366"/>
        <w:gridCol w:w="1896"/>
        <w:gridCol w:w="2150"/>
        <w:gridCol w:w="18"/>
        <w:gridCol w:w="1169"/>
        <w:gridCol w:w="1340"/>
      </w:tblGrid>
      <w:tr w:rsidR="0065330B" w:rsidRPr="00964DD0" w14:paraId="0D4F5E84" w14:textId="77777777" w:rsidTr="00642AE9">
        <w:trPr>
          <w:trHeight w:val="144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26726312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 w:rsidR="001E015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5330B" w:rsidRPr="00964DD0" w14:paraId="35A770BC" w14:textId="77777777" w:rsidTr="00642AE9">
        <w:trPr>
          <w:trHeight w:val="323"/>
        </w:trPr>
        <w:tc>
          <w:tcPr>
            <w:tcW w:w="2866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8E9B18A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84CCED3" w14:textId="77777777" w:rsidR="0065330B" w:rsidRPr="007D16FE" w:rsidRDefault="007D16FE" w:rsidP="0036109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</w:rPr>
            </w:pPr>
            <w:r w:rsidRPr="007D16FE">
              <w:rPr>
                <w:rFonts w:ascii="Times New Roman" w:hAnsi="Times New Roman"/>
                <w:b/>
                <w:bCs/>
                <w:sz w:val="20"/>
                <w:szCs w:val="20"/>
              </w:rPr>
              <w:t>Students will be able to articulate the importance of working in diverse teams to create successful outcomes</w:t>
            </w:r>
            <w:r w:rsidRPr="007D16FE">
              <w:rPr>
                <w:rFonts w:asciiTheme="majorHAnsi" w:hAnsiTheme="majorHAnsi"/>
                <w:b/>
                <w:sz w:val="22"/>
              </w:rPr>
              <w:t xml:space="preserve">. </w:t>
            </w:r>
          </w:p>
        </w:tc>
      </w:tr>
      <w:tr w:rsidR="0065330B" w:rsidRPr="00964DD0" w14:paraId="14D960E1" w14:textId="77777777" w:rsidTr="00642AE9">
        <w:trPr>
          <w:trHeight w:val="6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9CAE57" w14:textId="77777777" w:rsidR="0065330B" w:rsidRPr="005D68AF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D93BD6" w14:textId="77777777" w:rsidR="0065330B" w:rsidRPr="005D68AF" w:rsidRDefault="0035209C" w:rsidP="00695F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09C">
              <w:rPr>
                <w:rFonts w:ascii="Times New Roman" w:hAnsi="Times New Roman"/>
                <w:b/>
                <w:bCs/>
                <w:sz w:val="20"/>
                <w:szCs w:val="20"/>
              </w:rPr>
              <w:t>Student reflection on teamwork submissions from Dr. Yates’ MGT 305 (Critical Thinking) were evaluated using the Management Department’s rubric for Diverse Team.</w:t>
            </w:r>
          </w:p>
        </w:tc>
      </w:tr>
      <w:tr w:rsidR="002F5EB0" w:rsidRPr="00964DD0" w14:paraId="4709B99E" w14:textId="77777777" w:rsidTr="00642AE9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64CEF" w14:textId="77777777" w:rsidR="002F5EB0" w:rsidRPr="001160F4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A26BAD" w14:textId="77777777" w:rsidR="002F5EB0" w:rsidRPr="006F60B9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 (acceptable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level from rubric) or higher.  </w:t>
            </w:r>
          </w:p>
        </w:tc>
      </w:tr>
      <w:tr w:rsidR="002F5EB0" w:rsidRPr="00964DD0" w14:paraId="3ED91E0F" w14:textId="77777777" w:rsidTr="00642AE9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B22C035" w14:textId="77777777" w:rsidR="002F5EB0" w:rsidRPr="00964DD0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5F349AFA" w14:textId="77777777" w:rsidR="002F5EB0" w:rsidRPr="002F5EB0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EB0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02A4DFA" w14:textId="77777777" w:rsidR="002F5EB0" w:rsidRPr="00C4455B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FE2B89" w14:textId="77777777" w:rsidR="002F5EB0" w:rsidRPr="002F5EB0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767171" w:themeColor="background2" w:themeShade="80"/>
                <w:sz w:val="20"/>
                <w:szCs w:val="20"/>
              </w:rPr>
            </w:pPr>
            <w:r w:rsidRPr="002F5EB0">
              <w:rPr>
                <w:rFonts w:ascii="Times New Roman" w:hAnsi="Times New Roman"/>
                <w:b/>
                <w:sz w:val="20"/>
                <w:szCs w:val="20"/>
              </w:rPr>
              <w:t>48%</w:t>
            </w:r>
          </w:p>
        </w:tc>
      </w:tr>
      <w:tr w:rsidR="002F5EB0" w:rsidRPr="00964DD0" w14:paraId="2E6EA958" w14:textId="77777777" w:rsidTr="00642AE9">
        <w:trPr>
          <w:trHeight w:val="613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A62EDE8" w14:textId="77777777" w:rsidR="002F5EB0" w:rsidRPr="00EB65C8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4DA98F" w14:textId="77777777" w:rsidR="002F5EB0" w:rsidRPr="00964DD0" w:rsidRDefault="002F5EB0" w:rsidP="0033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5F35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 using the Management Department’s rubric for </w:t>
            </w:r>
            <w:r w:rsidR="003347CB">
              <w:rPr>
                <w:rFonts w:ascii="Times New Roman" w:hAnsi="Times New Roman"/>
                <w:bCs/>
                <w:sz w:val="20"/>
                <w:szCs w:val="20"/>
              </w:rPr>
              <w:t xml:space="preserve">diverse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team</w:t>
            </w:r>
            <w:r w:rsidR="007C50FC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Of that, </w:t>
            </w:r>
            <w:r w:rsidRPr="00695F3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students work scored a 3</w:t>
            </w:r>
            <w:r w:rsidRPr="004B24E5">
              <w:rPr>
                <w:rFonts w:ascii="Times New Roman" w:hAnsi="Times New Roman"/>
                <w:bCs/>
                <w:sz w:val="20"/>
                <w:szCs w:val="20"/>
              </w:rPr>
              <w:t xml:space="preserve"> or above.</w:t>
            </w:r>
          </w:p>
        </w:tc>
      </w:tr>
      <w:tr w:rsidR="002F5EB0" w:rsidRPr="00964DD0" w14:paraId="001C0239" w14:textId="77777777" w:rsidTr="00642AE9"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6635900" w14:textId="77777777" w:rsidR="002F5EB0" w:rsidRPr="002456FA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A5282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403D8F41" w14:textId="77777777" w:rsidTr="00642AE9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8DF2A3" w14:textId="77777777" w:rsidR="002F5EB0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9A23E51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3ED63BFD" w14:textId="77777777" w:rsidTr="00642AE9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AD84B0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5FC7FFC5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16AC0C60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637040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542F51D7" w14:textId="77777777" w:rsidTr="00642AE9">
        <w:trPr>
          <w:trHeight w:val="251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BC8329A" w14:textId="77777777" w:rsidR="002F5EB0" w:rsidRPr="0054609C" w:rsidRDefault="002F5EB0" w:rsidP="003A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01AF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68AB6AF1" w14:textId="77777777" w:rsidTr="00642AE9"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6398F2" w14:textId="77777777" w:rsidR="002F5EB0" w:rsidRDefault="002F5EB0" w:rsidP="003A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4EB6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25CAE395" w14:textId="77777777" w:rsidTr="00642AE9"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327CB1" w14:textId="77777777" w:rsidR="002F5EB0" w:rsidRPr="00EB65C8" w:rsidRDefault="002F5EB0" w:rsidP="003A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3D50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0B8500FE" w14:textId="77777777" w:rsidTr="00642AE9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898379" w14:textId="77777777" w:rsidR="002F5EB0" w:rsidRPr="002456FA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7D85A992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7468B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EA09C0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1D583B2E" w14:textId="77777777" w:rsidTr="00642AE9"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83B5AB" w14:textId="77777777" w:rsidR="002F5EB0" w:rsidRPr="0054609C" w:rsidRDefault="002F5EB0" w:rsidP="003A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D06BC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EB0" w:rsidRPr="00964DD0" w14:paraId="5F4008F5" w14:textId="77777777" w:rsidTr="00642AE9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E3283B" w14:textId="77777777" w:rsidR="002F5EB0" w:rsidRPr="003A32E4" w:rsidRDefault="002F5EB0" w:rsidP="003A09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B3514" w14:textId="77777777" w:rsidR="002F5EB0" w:rsidRPr="003A32E4" w:rsidRDefault="002F5EB0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00B59" w14:textId="77777777" w:rsidR="002F5EB0" w:rsidRPr="003A32E4" w:rsidRDefault="003A09C9" w:rsidP="002F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2F5EB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F5EB0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2F5EB0" w:rsidRPr="00964DD0" w14:paraId="5F9A1E2E" w14:textId="77777777" w:rsidTr="00642AE9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6A47E9D" w14:textId="77777777" w:rsidR="002F5EB0" w:rsidRPr="0054609C" w:rsidRDefault="002F5EB0" w:rsidP="002F5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49FF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2F5EB0" w:rsidRPr="00964DD0" w14:paraId="1DC8776F" w14:textId="77777777" w:rsidTr="00642AE9">
        <w:trPr>
          <w:trHeight w:val="701"/>
        </w:trPr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3684C00D" w14:textId="77777777" w:rsidR="002F5EB0" w:rsidRPr="0054609C" w:rsidRDefault="007C50FC" w:rsidP="002F5E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The Department will review these results in meetings during the Fall 2022 semester and develop a course of action for follow-up. We will assess our artifacts, rubric, and determine any redirection needed prior to Spring 2023.</w:t>
            </w:r>
          </w:p>
        </w:tc>
      </w:tr>
      <w:tr w:rsidR="002F5EB0" w:rsidRPr="00964DD0" w14:paraId="7DF094C4" w14:textId="77777777" w:rsidTr="00642AE9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E9AA675" w14:textId="77777777" w:rsidR="002F5EB0" w:rsidRPr="00C849FF" w:rsidRDefault="002F5EB0" w:rsidP="002F5EB0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C849FF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C849F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2F5EB0" w:rsidRPr="00964DD0" w14:paraId="107FE272" w14:textId="77777777" w:rsidTr="00642AE9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188213C" w14:textId="77777777" w:rsidR="002F5EB0" w:rsidRDefault="002F5EB0" w:rsidP="002F5EB0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2E6FC25B" w14:textId="77777777" w:rsidR="002F5EB0" w:rsidRPr="006E294C" w:rsidRDefault="002F5EB0" w:rsidP="002F5EB0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F5EB0" w:rsidRPr="00964DD0" w14:paraId="5E18494F" w14:textId="77777777" w:rsidTr="00642AE9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151EEA89" w14:textId="77777777" w:rsidR="002F5EB0" w:rsidRDefault="002F5EB0" w:rsidP="002F5EB0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3A09C9" w:rsidRPr="00964DD0" w14:paraId="635DBEBC" w14:textId="77777777" w:rsidTr="00642AE9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64C136BC" w14:textId="77777777" w:rsidR="003A09C9" w:rsidRPr="001A0EE5" w:rsidRDefault="003A09C9" w:rsidP="00642AE9">
            <w:pPr>
              <w:jc w:val="both"/>
              <w:rPr>
                <w:rFonts w:ascii="Times New Roman" w:hAnsi="Times New Roman"/>
                <w:sz w:val="20"/>
              </w:rPr>
            </w:pP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 w:rsidR="00642AE9"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2023. </w:t>
            </w:r>
            <w:r>
              <w:rPr>
                <w:rFonts w:ascii="Times New Roman" w:hAnsi="Times New Roman"/>
                <w:sz w:val="20"/>
              </w:rPr>
              <w:t>Student submissions from MGT305 or a s</w:t>
            </w:r>
            <w:r w:rsidR="005251D3">
              <w:rPr>
                <w:rFonts w:ascii="Times New Roman" w:hAnsi="Times New Roman"/>
                <w:sz w:val="20"/>
              </w:rPr>
              <w:t xml:space="preserve">imilar </w:t>
            </w:r>
            <w:r>
              <w:rPr>
                <w:rFonts w:ascii="Times New Roman" w:hAnsi="Times New Roman"/>
                <w:sz w:val="20"/>
              </w:rPr>
              <w:t>class will be collected by</w:t>
            </w:r>
            <w:r w:rsidRPr="00AE0AA9">
              <w:rPr>
                <w:rFonts w:ascii="Times New Roman" w:hAnsi="Times New Roman"/>
                <w:sz w:val="20"/>
              </w:rPr>
              <w:t xml:space="preserve"> May 2023. The departmental AOL representatives and the facult</w:t>
            </w:r>
            <w:r>
              <w:rPr>
                <w:rFonts w:ascii="Times New Roman" w:hAnsi="Times New Roman"/>
                <w:sz w:val="20"/>
              </w:rPr>
              <w:t>y members teaching the class</w:t>
            </w:r>
            <w:r w:rsidR="00642AE9">
              <w:rPr>
                <w:rFonts w:ascii="Times New Roman" w:hAnsi="Times New Roman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E0AA9">
              <w:rPr>
                <w:rFonts w:ascii="Times New Roman" w:hAnsi="Times New Roman"/>
                <w:sz w:val="20"/>
              </w:rPr>
              <w:t xml:space="preserve">will collect the artifacts. </w:t>
            </w:r>
          </w:p>
        </w:tc>
      </w:tr>
    </w:tbl>
    <w:p w14:paraId="1E6B167A" w14:textId="77777777" w:rsidR="0065330B" w:rsidRDefault="0065330B"/>
    <w:p w14:paraId="0D4A1A8B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7" w:rightFromText="187" w:vertAnchor="text" w:horzAnchor="margin" w:tblpY="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366"/>
        <w:gridCol w:w="1896"/>
        <w:gridCol w:w="2150"/>
        <w:gridCol w:w="18"/>
        <w:gridCol w:w="1169"/>
        <w:gridCol w:w="1340"/>
      </w:tblGrid>
      <w:tr w:rsidR="0065330B" w:rsidRPr="00964DD0" w14:paraId="7BBC0C43" w14:textId="77777777" w:rsidTr="008F3B9C">
        <w:trPr>
          <w:trHeight w:val="144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6EE90043" w14:textId="77777777" w:rsidR="0065330B" w:rsidRPr="001E35D2" w:rsidRDefault="0065330B" w:rsidP="00361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lastRenderedPageBreak/>
              <w:t xml:space="preserve">Student Learning Outcome </w:t>
            </w:r>
            <w:r w:rsidR="001E015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5330B" w:rsidRPr="00964DD0" w14:paraId="0611F0B6" w14:textId="77777777" w:rsidTr="008F3B9C">
        <w:trPr>
          <w:trHeight w:val="323"/>
        </w:trPr>
        <w:tc>
          <w:tcPr>
            <w:tcW w:w="2866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82F6557" w14:textId="77777777" w:rsidR="0065330B" w:rsidRPr="00EB65C8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D4FB650" w14:textId="77777777" w:rsidR="0065330B" w:rsidRPr="007D16FE" w:rsidRDefault="007D16F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6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Students will be able to synthesize information from a variety of sources to create solutions for business problems.  </w:t>
            </w:r>
          </w:p>
        </w:tc>
      </w:tr>
      <w:tr w:rsidR="0065330B" w:rsidRPr="00964DD0" w14:paraId="13B9F393" w14:textId="77777777" w:rsidTr="008F3B9C">
        <w:trPr>
          <w:trHeight w:val="6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94C1AD4" w14:textId="77777777" w:rsidR="0065330B" w:rsidRPr="005D68AF" w:rsidRDefault="0065330B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AE375D" w14:textId="77777777" w:rsidR="0065330B" w:rsidRDefault="00402E5E" w:rsidP="003610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E5E">
              <w:rPr>
                <w:rFonts w:ascii="Times New Roman" w:hAnsi="Times New Roman"/>
                <w:b/>
                <w:bCs/>
                <w:sz w:val="20"/>
                <w:szCs w:val="20"/>
              </w:rPr>
              <w:t>Ford Case submissions from Dr. Spiller’s MGT498 (Strategic Management) were evaluated using the GF</w:t>
            </w:r>
            <w:r w:rsidR="00D84ED8">
              <w:rPr>
                <w:rFonts w:ascii="Times New Roman" w:hAnsi="Times New Roman"/>
                <w:b/>
                <w:bCs/>
                <w:sz w:val="20"/>
                <w:szCs w:val="20"/>
              </w:rPr>
              <w:t>CB rubric for Critical Thinking;</w:t>
            </w:r>
          </w:p>
          <w:p w14:paraId="718EF0D4" w14:textId="77777777" w:rsidR="00CE2864" w:rsidRPr="005D68AF" w:rsidRDefault="00CE2864" w:rsidP="00CE28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498">
              <w:rPr>
                <w:rFonts w:ascii="Times New Roman" w:hAnsi="Times New Roman"/>
                <w:b/>
                <w:bCs/>
                <w:sz w:val="20"/>
                <w:szCs w:val="20"/>
              </w:rPr>
              <w:t>FIFA Case submissions from Drs. Liang and Meggers’ MGT 498 (Strategic Management) were evaluated using the GFCB rubric for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4304">
              <w:rPr>
                <w:rFonts w:ascii="Times New Roman" w:hAnsi="Times New Roman"/>
                <w:b/>
                <w:bCs/>
                <w:sz w:val="20"/>
                <w:szCs w:val="20"/>
              </w:rPr>
              <w:t>Legal and Ethical Awareness</w:t>
            </w:r>
            <w:r w:rsidRPr="002C71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85AF6" w:rsidRPr="00964DD0" w14:paraId="63424B1F" w14:textId="77777777" w:rsidTr="008F3B9C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C1F9EF" w14:textId="77777777" w:rsidR="00085AF6" w:rsidRPr="001160F4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F9E341F" w14:textId="77777777" w:rsidR="00085AF6" w:rsidRPr="006F60B9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>Score should be 3 (acceptable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3921">
              <w:rPr>
                <w:rFonts w:ascii="Times New Roman" w:hAnsi="Times New Roman"/>
                <w:b/>
                <w:sz w:val="20"/>
                <w:szCs w:val="20"/>
              </w:rPr>
              <w:t xml:space="preserve">level from rubric) or higher.  </w:t>
            </w:r>
          </w:p>
        </w:tc>
      </w:tr>
      <w:tr w:rsidR="00085AF6" w:rsidRPr="00964DD0" w14:paraId="7A28F639" w14:textId="77777777" w:rsidTr="008F3B9C">
        <w:tc>
          <w:tcPr>
            <w:tcW w:w="32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48D781" w14:textId="77777777" w:rsidR="00085AF6" w:rsidRPr="00964DD0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62803146" w14:textId="77777777" w:rsidR="00085AF6" w:rsidRPr="00085AF6" w:rsidRDefault="00085AF6" w:rsidP="00085A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5AF6">
              <w:rPr>
                <w:rFonts w:ascii="Times New Roman" w:hAnsi="Times New Roman"/>
                <w:b/>
                <w:sz w:val="20"/>
                <w:szCs w:val="20"/>
              </w:rPr>
              <w:t>70%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AEF3A39" w14:textId="77777777" w:rsidR="00085AF6" w:rsidRPr="00C4455B" w:rsidRDefault="00085AF6" w:rsidP="00085A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99824F" w14:textId="77777777" w:rsidR="00085AF6" w:rsidRPr="00085AF6" w:rsidRDefault="00412D26" w:rsidP="00053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538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85AF6" w:rsidRPr="00BE188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6E4727" w:rsidRPr="00964DD0" w14:paraId="79C04217" w14:textId="77777777" w:rsidTr="008F3B9C">
        <w:trPr>
          <w:trHeight w:val="613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07AEDB5" w14:textId="77777777" w:rsidR="006E4727" w:rsidRPr="00EB65C8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FDFC1D" w14:textId="77777777" w:rsidR="006E4727" w:rsidRPr="000538F4" w:rsidRDefault="00412D26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Management students’ assignment submissions were evaluated using the GFCB’s rubric for critical thinking.  Of that, </w:t>
            </w: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student</w:t>
            </w:r>
            <w:r w:rsidR="007C50FC">
              <w:rPr>
                <w:rFonts w:ascii="Times New Roman" w:hAnsi="Times New Roman"/>
                <w:bCs/>
                <w:sz w:val="20"/>
                <w:szCs w:val="20"/>
              </w:rPr>
              <w:t>’</w:t>
            </w:r>
            <w:r w:rsidR="006E4727" w:rsidRPr="000538F4">
              <w:rPr>
                <w:rFonts w:ascii="Times New Roman" w:hAnsi="Times New Roman"/>
                <w:bCs/>
                <w:sz w:val="20"/>
                <w:szCs w:val="20"/>
              </w:rPr>
              <w:t>s work scored a 3</w:t>
            </w: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or above.</w:t>
            </w:r>
          </w:p>
          <w:p w14:paraId="68BDC9B0" w14:textId="77777777" w:rsidR="00BE188B" w:rsidRPr="000538F4" w:rsidRDefault="0014779A" w:rsidP="00147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32 Management students’ assignment submissions were evaluated using the GFCB’s rubric for </w:t>
            </w:r>
            <w:r w:rsidR="004F0F78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="00D32AD9" w:rsidRPr="00D32AD9">
              <w:rPr>
                <w:rFonts w:ascii="Times New Roman" w:hAnsi="Times New Roman"/>
                <w:bCs/>
                <w:sz w:val="20"/>
                <w:szCs w:val="20"/>
              </w:rPr>
              <w:t xml:space="preserve">egal and </w:t>
            </w:r>
            <w:r w:rsidR="004F0F78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r w:rsidR="00D32AD9" w:rsidRPr="00D32AD9">
              <w:rPr>
                <w:rFonts w:ascii="Times New Roman" w:hAnsi="Times New Roman"/>
                <w:bCs/>
                <w:sz w:val="20"/>
                <w:szCs w:val="20"/>
              </w:rPr>
              <w:t xml:space="preserve">thical </w:t>
            </w:r>
            <w:r w:rsidR="004F0F78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D32AD9" w:rsidRPr="00D32AD9">
              <w:rPr>
                <w:rFonts w:ascii="Times New Roman" w:hAnsi="Times New Roman"/>
                <w:bCs/>
                <w:sz w:val="20"/>
                <w:szCs w:val="20"/>
              </w:rPr>
              <w:t>wareness.</w:t>
            </w: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  Of that, 28 st</w:t>
            </w:r>
            <w:r w:rsidR="00412D26" w:rsidRPr="000538F4">
              <w:rPr>
                <w:rFonts w:ascii="Times New Roman" w:hAnsi="Times New Roman"/>
                <w:bCs/>
                <w:sz w:val="20"/>
                <w:szCs w:val="20"/>
              </w:rPr>
              <w:t>udents work scored a 3 or above.</w:t>
            </w:r>
          </w:p>
          <w:p w14:paraId="53EF4705" w14:textId="77777777" w:rsidR="007C50FC" w:rsidRDefault="007C50FC" w:rsidP="00053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45BBE" w14:textId="77777777" w:rsidR="0014779A" w:rsidRPr="000538F4" w:rsidRDefault="0014779A" w:rsidP="00053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Overall, </w:t>
            </w:r>
            <w:r w:rsidR="00412D26" w:rsidRPr="000538F4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0538F4" w:rsidRPr="000538F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0538F4">
              <w:rPr>
                <w:rFonts w:ascii="Times New Roman" w:hAnsi="Times New Roman"/>
                <w:bCs/>
                <w:sz w:val="20"/>
                <w:szCs w:val="20"/>
              </w:rPr>
              <w:t xml:space="preserve">% of students scored 3 or above. </w:t>
            </w:r>
          </w:p>
        </w:tc>
      </w:tr>
      <w:tr w:rsidR="006E4727" w:rsidRPr="00964DD0" w14:paraId="122BB6B0" w14:textId="77777777" w:rsidTr="008F3B9C"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B463CA" w14:textId="77777777" w:rsidR="006E4727" w:rsidRPr="002456FA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52AE7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05D49414" w14:textId="77777777" w:rsidTr="008F3B9C">
        <w:tc>
          <w:tcPr>
            <w:tcW w:w="2866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0C3E74" w14:textId="77777777" w:rsidR="006E4727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AC4AAAE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6BD779B8" w14:textId="77777777" w:rsidTr="008F3B9C">
        <w:tc>
          <w:tcPr>
            <w:tcW w:w="323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74185F4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shd w:val="clear" w:color="auto" w:fill="auto"/>
          </w:tcPr>
          <w:p w14:paraId="37BCAE71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14:paraId="5C7D05DB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56967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38648C41" w14:textId="77777777" w:rsidTr="008F3B9C">
        <w:trPr>
          <w:trHeight w:val="242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46578E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03C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295BC462" w14:textId="77777777" w:rsidTr="008F3B9C">
        <w:trPr>
          <w:trHeight w:val="260"/>
        </w:trPr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6564C5" w14:textId="77777777" w:rsidR="006E4727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429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6E9DCDBB" w14:textId="77777777" w:rsidTr="008F3B9C"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089B520" w14:textId="77777777" w:rsidR="006E4727" w:rsidRPr="00EB65C8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6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813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7CF49B26" w14:textId="77777777" w:rsidTr="008F3B9C">
        <w:tc>
          <w:tcPr>
            <w:tcW w:w="32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EA7073" w14:textId="77777777" w:rsidR="006E4727" w:rsidRPr="002456FA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14:paraId="5AE8CCCF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0603A8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C7116E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67FFA35F" w14:textId="77777777" w:rsidTr="008F3B9C"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F0FA1D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80760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5D28F636" w14:textId="77777777" w:rsidTr="008F3B9C">
        <w:tc>
          <w:tcPr>
            <w:tcW w:w="7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52B67E0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D995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974B2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27D6" w14:textId="77777777" w:rsidR="006E4727" w:rsidRPr="003A32E4" w:rsidRDefault="006E4727" w:rsidP="006E4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</w:r>
            <w:r w:rsidR="006E6C4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6E4727" w:rsidRPr="00964DD0" w14:paraId="7C1B9818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077A5BAC" w14:textId="77777777" w:rsidR="006E4727" w:rsidRPr="0054609C" w:rsidRDefault="006E4727" w:rsidP="006E47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974B2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7974B2">
              <w:rPr>
                <w:rFonts w:ascii="Times New Roman" w:hAnsi="Times New Roman"/>
                <w:sz w:val="20"/>
                <w:szCs w:val="20"/>
              </w:rPr>
              <w:t>(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6E4727" w:rsidRPr="00964DD0" w14:paraId="1CAA41F0" w14:textId="77777777" w:rsidTr="008F3B9C">
        <w:trPr>
          <w:trHeight w:val="701"/>
        </w:trPr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49A6BCEA" w14:textId="77777777" w:rsidR="006E4727" w:rsidRPr="0054609C" w:rsidRDefault="006E4727" w:rsidP="006E472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4727" w:rsidRPr="00964DD0" w14:paraId="6B940A12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4AB0615D" w14:textId="77777777" w:rsidR="006E4727" w:rsidRPr="006E294C" w:rsidRDefault="006E4727" w:rsidP="006E4727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974B2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974B2">
              <w:rPr>
                <w:rFonts w:ascii="Times New Roman" w:hAnsi="Times New Roman"/>
                <w:bCs/>
                <w:sz w:val="20"/>
              </w:rPr>
              <w:t>(</w:t>
            </w:r>
            <w:r w:rsidRPr="0075740F">
              <w:rPr>
                <w:rFonts w:ascii="Times New Roman" w:hAnsi="Times New Roman"/>
                <w:bCs/>
                <w:sz w:val="20"/>
              </w:rPr>
              <w:t>Provide your timeline for follow-up.  If follow-up has occurred, describe how the actions above have resulted in program improvement.)</w:t>
            </w:r>
          </w:p>
        </w:tc>
      </w:tr>
      <w:tr w:rsidR="006E4727" w:rsidRPr="00964DD0" w14:paraId="22D4C60E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295333D9" w14:textId="77777777" w:rsidR="006E4727" w:rsidRDefault="006E4727" w:rsidP="006E472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7F8E777" w14:textId="77777777" w:rsidR="006E4727" w:rsidRPr="006E294C" w:rsidRDefault="006E4727" w:rsidP="006E4727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E4727" w:rsidRPr="00964DD0" w14:paraId="4D695C91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7BECA72" w14:textId="77777777" w:rsidR="006E4727" w:rsidRDefault="006E4727" w:rsidP="006E4727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697323" w:rsidRPr="00964DD0" w14:paraId="4E89CB66" w14:textId="77777777" w:rsidTr="008F3B9C">
        <w:tc>
          <w:tcPr>
            <w:tcW w:w="9805" w:type="dxa"/>
            <w:gridSpan w:val="7"/>
            <w:shd w:val="clear" w:color="auto" w:fill="auto"/>
            <w:tcMar>
              <w:top w:w="100" w:type="nil"/>
              <w:right w:w="100" w:type="nil"/>
            </w:tcMar>
          </w:tcPr>
          <w:p w14:paraId="5E1108C1" w14:textId="77777777" w:rsidR="00697323" w:rsidRPr="001A0EE5" w:rsidRDefault="00697323" w:rsidP="008F3B9C">
            <w:pPr>
              <w:jc w:val="both"/>
              <w:rPr>
                <w:rFonts w:ascii="Times New Roman" w:hAnsi="Times New Roman"/>
                <w:sz w:val="20"/>
              </w:rPr>
            </w:pPr>
            <w:r w:rsidRPr="00AE0AA9">
              <w:rPr>
                <w:rFonts w:ascii="Times New Roman" w:hAnsi="Times New Roman"/>
                <w:sz w:val="20"/>
              </w:rPr>
              <w:t xml:space="preserve">This outcome will be assessed again this time next year, around </w:t>
            </w:r>
            <w:r w:rsidR="008F3B9C">
              <w:rPr>
                <w:rFonts w:ascii="Times New Roman" w:hAnsi="Times New Roman"/>
                <w:sz w:val="20"/>
              </w:rPr>
              <w:t>Aug</w:t>
            </w:r>
            <w:r w:rsidRPr="00AE0AA9">
              <w:rPr>
                <w:rFonts w:ascii="Times New Roman" w:hAnsi="Times New Roman"/>
                <w:sz w:val="20"/>
              </w:rPr>
              <w:t xml:space="preserve"> 2023. </w:t>
            </w:r>
            <w:r>
              <w:rPr>
                <w:rFonts w:ascii="Times New Roman" w:hAnsi="Times New Roman"/>
                <w:sz w:val="20"/>
              </w:rPr>
              <w:t>Student submissions from MGT498 or a similar class will be collected by</w:t>
            </w:r>
            <w:r w:rsidRPr="00AE0AA9">
              <w:rPr>
                <w:rFonts w:ascii="Times New Roman" w:hAnsi="Times New Roman"/>
                <w:sz w:val="20"/>
              </w:rPr>
              <w:t xml:space="preserve"> May 2023. The departmental AOL representatives and the facult</w:t>
            </w:r>
            <w:r>
              <w:rPr>
                <w:rFonts w:ascii="Times New Roman" w:hAnsi="Times New Roman"/>
                <w:sz w:val="20"/>
              </w:rPr>
              <w:t>y members teaching the class</w:t>
            </w:r>
            <w:r w:rsidR="008F3B9C">
              <w:rPr>
                <w:rFonts w:ascii="Times New Roman" w:hAnsi="Times New Roman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E0AA9">
              <w:rPr>
                <w:rFonts w:ascii="Times New Roman" w:hAnsi="Times New Roman"/>
                <w:sz w:val="20"/>
              </w:rPr>
              <w:t xml:space="preserve">will collect the artifacts. </w:t>
            </w:r>
          </w:p>
        </w:tc>
      </w:tr>
    </w:tbl>
    <w:p w14:paraId="174CE87D" w14:textId="77777777" w:rsidR="0065330B" w:rsidRDefault="0065330B"/>
    <w:p w14:paraId="7C7FD47B" w14:textId="77777777" w:rsidR="00EE5E7B" w:rsidRDefault="00EE5E7B">
      <w:pPr>
        <w:spacing w:after="160" w:line="259" w:lineRule="auto"/>
      </w:pPr>
    </w:p>
    <w:p w14:paraId="4F07610D" w14:textId="77777777" w:rsidR="00EE5E7B" w:rsidRPr="00FA5344" w:rsidRDefault="00EE5E7B" w:rsidP="00EE5E7B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p w14:paraId="69231EFD" w14:textId="77777777" w:rsidR="0065330B" w:rsidRDefault="0065330B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XSpec="center" w:tblpY="1069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958"/>
        <w:gridCol w:w="4152"/>
      </w:tblGrid>
      <w:tr w:rsidR="00C0124C" w:rsidRPr="00487A48" w14:paraId="7078A8CA" w14:textId="77777777" w:rsidTr="0084241F">
        <w:trPr>
          <w:trHeight w:val="883"/>
        </w:trPr>
        <w:tc>
          <w:tcPr>
            <w:tcW w:w="2965" w:type="dxa"/>
          </w:tcPr>
          <w:p w14:paraId="0368C600" w14:textId="77777777" w:rsidR="00C0124C" w:rsidRPr="00487A48" w:rsidRDefault="00C0124C" w:rsidP="0036109F">
            <w:pPr>
              <w:ind w:left="-108" w:right="-205"/>
              <w:rPr>
                <w:rFonts w:asciiTheme="majorHAnsi" w:hAnsiTheme="majorHAnsi"/>
                <w:b/>
                <w:bCs/>
                <w:i/>
              </w:rPr>
            </w:pPr>
          </w:p>
        </w:tc>
        <w:tc>
          <w:tcPr>
            <w:tcW w:w="2958" w:type="dxa"/>
          </w:tcPr>
          <w:p w14:paraId="6580ABAA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487A48">
              <w:rPr>
                <w:rFonts w:asciiTheme="majorHAnsi" w:hAnsiTheme="majorHAnsi"/>
                <w:b/>
                <w:bCs/>
                <w:i/>
              </w:rPr>
              <w:t>Department Outcome/Goal:</w:t>
            </w:r>
          </w:p>
        </w:tc>
        <w:tc>
          <w:tcPr>
            <w:tcW w:w="4152" w:type="dxa"/>
          </w:tcPr>
          <w:p w14:paraId="14468568" w14:textId="77777777" w:rsidR="00C0124C" w:rsidRPr="00487A48" w:rsidRDefault="00C0124C" w:rsidP="002841A4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>
              <w:rPr>
                <w:rFonts w:asciiTheme="majorHAnsi" w:hAnsiTheme="majorHAnsi"/>
                <w:b/>
                <w:bCs/>
                <w:i/>
              </w:rPr>
              <w:t>College</w:t>
            </w:r>
            <w:r w:rsidRPr="00487A48">
              <w:rPr>
                <w:rFonts w:asciiTheme="majorHAnsi" w:hAnsiTheme="majorHAnsi"/>
                <w:b/>
                <w:bCs/>
                <w:i/>
              </w:rPr>
              <w:t xml:space="preserve"> Outcome/Goal:</w:t>
            </w:r>
          </w:p>
        </w:tc>
      </w:tr>
      <w:tr w:rsidR="00C0124C" w:rsidRPr="00487A48" w14:paraId="26F63687" w14:textId="77777777" w:rsidTr="0084241F">
        <w:trPr>
          <w:trHeight w:val="990"/>
        </w:trPr>
        <w:tc>
          <w:tcPr>
            <w:tcW w:w="2965" w:type="dxa"/>
          </w:tcPr>
          <w:p w14:paraId="5FF04E8F" w14:textId="77777777" w:rsidR="00C0124C" w:rsidRPr="00487A48" w:rsidRDefault="00C0124C" w:rsidP="0036109F">
            <w:pPr>
              <w:spacing w:line="216" w:lineRule="auto"/>
              <w:rPr>
                <w:rFonts w:asciiTheme="majorHAnsi" w:hAnsiTheme="majorHAnsi"/>
                <w:b/>
                <w:bCs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1.1: Students will be able to define general business principles.</w:t>
            </w:r>
          </w:p>
        </w:tc>
        <w:tc>
          <w:tcPr>
            <w:tcW w:w="2958" w:type="dxa"/>
          </w:tcPr>
          <w:p w14:paraId="2102A37C" w14:textId="77777777" w:rsidR="00C0124C" w:rsidRPr="005437D2" w:rsidRDefault="00C0124C" w:rsidP="0036109F">
            <w:pPr>
              <w:ind w:right="-205"/>
              <w:rPr>
                <w:rFonts w:cs="Calibri"/>
                <w:i/>
              </w:rPr>
            </w:pPr>
            <w:r w:rsidRPr="004148B8">
              <w:rPr>
                <w:rFonts w:asciiTheme="majorHAnsi" w:hAnsiTheme="majorHAnsi"/>
                <w:i/>
                <w:sz w:val="22"/>
              </w:rPr>
              <w:t>LG1: Gain basic understandings of business principles, processes, and communication skills.</w:t>
            </w:r>
          </w:p>
        </w:tc>
        <w:tc>
          <w:tcPr>
            <w:tcW w:w="4152" w:type="dxa"/>
          </w:tcPr>
          <w:p w14:paraId="7D469639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Goal 5: Discipline Knowledge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17FE022B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A basic knowledge of the business disciplines and areas.</w:t>
            </w:r>
          </w:p>
          <w:p w14:paraId="06A5F009" w14:textId="77777777" w:rsidR="00C0124C" w:rsidRPr="00641138" w:rsidRDefault="00C0124C" w:rsidP="0036109F">
            <w:pPr>
              <w:ind w:left="89" w:right="-205"/>
              <w:rPr>
                <w:rFonts w:asciiTheme="majorHAnsi" w:hAnsiTheme="majorHAnsi"/>
                <w:b/>
                <w:bCs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C0124C" w:rsidRPr="00487A48" w14:paraId="66BADA13" w14:textId="77777777" w:rsidTr="0084241F">
        <w:trPr>
          <w:trHeight w:val="809"/>
        </w:trPr>
        <w:tc>
          <w:tcPr>
            <w:tcW w:w="2965" w:type="dxa"/>
          </w:tcPr>
          <w:p w14:paraId="4E96A7CB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1.2: Students will be able to define principles specific to their disciplines.</w:t>
            </w:r>
          </w:p>
        </w:tc>
        <w:tc>
          <w:tcPr>
            <w:tcW w:w="2958" w:type="dxa"/>
          </w:tcPr>
          <w:p w14:paraId="04AFECEB" w14:textId="77777777" w:rsidR="00C0124C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 w:rsidRPr="004148B8">
              <w:rPr>
                <w:rFonts w:asciiTheme="majorHAnsi" w:hAnsiTheme="majorHAnsi"/>
                <w:i/>
                <w:sz w:val="22"/>
              </w:rPr>
              <w:t>LG1: Gain basic understandings of business principles, processes, and communication skills.</w:t>
            </w:r>
          </w:p>
          <w:p w14:paraId="6C20A280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</w:p>
        </w:tc>
        <w:tc>
          <w:tcPr>
            <w:tcW w:w="4152" w:type="dxa"/>
          </w:tcPr>
          <w:p w14:paraId="3B06EC01" w14:textId="77777777" w:rsidR="00C0124C" w:rsidRPr="009F5F14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9F5F14">
              <w:rPr>
                <w:rFonts w:cs="Calibri"/>
                <w:i/>
                <w:sz w:val="22"/>
                <w:szCs w:val="22"/>
              </w:rPr>
              <w:t>Goal 5: Discipline Knowledge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1398C499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9F5F14">
              <w:rPr>
                <w:rFonts w:cs="Calibri"/>
                <w:i/>
                <w:sz w:val="22"/>
                <w:szCs w:val="22"/>
              </w:rPr>
              <w:t>A basic knowledge of the business disciplines and areas.</w:t>
            </w:r>
          </w:p>
        </w:tc>
      </w:tr>
      <w:tr w:rsidR="00C0124C" w:rsidRPr="00487A48" w14:paraId="5C6D10E0" w14:textId="77777777" w:rsidTr="0084241F">
        <w:trPr>
          <w:trHeight w:val="795"/>
        </w:trPr>
        <w:tc>
          <w:tcPr>
            <w:tcW w:w="2965" w:type="dxa"/>
          </w:tcPr>
          <w:p w14:paraId="294D0975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 xml:space="preserve">SLO 1.3: Students will demonstrate the ability to communicate professionally.  </w:t>
            </w:r>
          </w:p>
        </w:tc>
        <w:tc>
          <w:tcPr>
            <w:tcW w:w="2958" w:type="dxa"/>
          </w:tcPr>
          <w:p w14:paraId="0B709F54" w14:textId="77777777" w:rsidR="00C0124C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 w:rsidRPr="004148B8">
              <w:rPr>
                <w:rFonts w:asciiTheme="majorHAnsi" w:hAnsiTheme="majorHAnsi"/>
                <w:i/>
                <w:sz w:val="22"/>
              </w:rPr>
              <w:t>LG1: Gain basic understandings of business principles, processes, and communication skills.</w:t>
            </w:r>
          </w:p>
          <w:p w14:paraId="7A9D1A7A" w14:textId="77777777" w:rsidR="00C0124C" w:rsidRPr="000A0C6E" w:rsidRDefault="00C0124C" w:rsidP="0036109F">
            <w:pPr>
              <w:ind w:right="-205"/>
              <w:rPr>
                <w:rFonts w:cs="Calibri"/>
                <w:i/>
              </w:rPr>
            </w:pPr>
          </w:p>
        </w:tc>
        <w:tc>
          <w:tcPr>
            <w:tcW w:w="4152" w:type="dxa"/>
          </w:tcPr>
          <w:p w14:paraId="780DA6AA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Goal 1: Communication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3EBFBAC6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641138">
              <w:rPr>
                <w:rFonts w:cs="Calibri"/>
                <w:i/>
                <w:sz w:val="22"/>
                <w:szCs w:val="22"/>
              </w:rPr>
              <w:t>The ability to communicate effectively in written and oral forms.</w:t>
            </w:r>
          </w:p>
        </w:tc>
      </w:tr>
      <w:tr w:rsidR="00C0124C" w:rsidRPr="00487A48" w14:paraId="128C1ED0" w14:textId="77777777" w:rsidTr="0084241F">
        <w:trPr>
          <w:trHeight w:val="795"/>
        </w:trPr>
        <w:tc>
          <w:tcPr>
            <w:tcW w:w="2965" w:type="dxa"/>
          </w:tcPr>
          <w:p w14:paraId="5F2D3E22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B822C0">
              <w:rPr>
                <w:rFonts w:asciiTheme="majorHAnsi" w:hAnsiTheme="majorHAnsi"/>
                <w:i/>
                <w:sz w:val="22"/>
              </w:rPr>
              <w:t>SLO 2.1: Students will be able to articulate the importance of working in diverse teams to create successful outcomes.</w:t>
            </w:r>
          </w:p>
        </w:tc>
        <w:tc>
          <w:tcPr>
            <w:tcW w:w="2958" w:type="dxa"/>
          </w:tcPr>
          <w:p w14:paraId="65B5999B" w14:textId="77777777" w:rsidR="00C0124C" w:rsidRPr="004148B8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LG</w:t>
            </w:r>
            <w:r w:rsidRPr="00574FFB">
              <w:rPr>
                <w:rFonts w:asciiTheme="majorHAnsi" w:hAnsiTheme="majorHAnsi"/>
                <w:i/>
                <w:sz w:val="22"/>
              </w:rPr>
              <w:t>2</w:t>
            </w:r>
            <w:r>
              <w:rPr>
                <w:rFonts w:asciiTheme="majorHAnsi" w:hAnsiTheme="majorHAnsi"/>
                <w:i/>
                <w:sz w:val="22"/>
              </w:rPr>
              <w:t>: C</w:t>
            </w:r>
            <w:r w:rsidRPr="00574FFB">
              <w:rPr>
                <w:rFonts w:asciiTheme="majorHAnsi" w:hAnsiTheme="majorHAnsi"/>
                <w:i/>
                <w:sz w:val="22"/>
              </w:rPr>
              <w:t>ontribute, lead, and manage in ways that appreciate and value individual differences which help to create diverse, equitable, and inclusive cultures.</w:t>
            </w:r>
          </w:p>
        </w:tc>
        <w:tc>
          <w:tcPr>
            <w:tcW w:w="4152" w:type="dxa"/>
          </w:tcPr>
          <w:p w14:paraId="02D2C7CC" w14:textId="77777777" w:rsidR="00C0124C" w:rsidRPr="007F4C39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Goal 2: Legal and Ethical Awareness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6B479394" w14:textId="77777777" w:rsidR="00C0124C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An awareness of legal and ethical issues in business and society.</w:t>
            </w:r>
          </w:p>
          <w:p w14:paraId="33F596FF" w14:textId="77777777" w:rsidR="00C0124C" w:rsidRPr="007F4C39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Goal 4: Global Awareness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6FAE7359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Our students will be able to explain the increasingly integrated world economy and the forces behind this integration.</w:t>
            </w:r>
          </w:p>
        </w:tc>
      </w:tr>
      <w:tr w:rsidR="00C0124C" w:rsidRPr="00487A48" w14:paraId="19AC5A40" w14:textId="77777777" w:rsidTr="0084241F">
        <w:trPr>
          <w:trHeight w:val="795"/>
        </w:trPr>
        <w:tc>
          <w:tcPr>
            <w:tcW w:w="2965" w:type="dxa"/>
          </w:tcPr>
          <w:p w14:paraId="2486C03F" w14:textId="77777777" w:rsidR="00C0124C" w:rsidRPr="00487A48" w:rsidRDefault="00C0124C" w:rsidP="0036109F">
            <w:pPr>
              <w:ind w:right="-205"/>
              <w:rPr>
                <w:rFonts w:asciiTheme="majorHAnsi" w:hAnsiTheme="majorHAnsi"/>
                <w:b/>
                <w:bCs/>
                <w:i/>
              </w:rPr>
            </w:pPr>
            <w:r w:rsidRPr="00B822C0">
              <w:rPr>
                <w:rFonts w:asciiTheme="majorHAnsi" w:hAnsiTheme="majorHAnsi"/>
                <w:i/>
                <w:sz w:val="22"/>
              </w:rPr>
              <w:t xml:space="preserve">SLO 3.1: Students will be able to synthesize information from a variety of sources to create solutions for business problems.  </w:t>
            </w:r>
          </w:p>
        </w:tc>
        <w:tc>
          <w:tcPr>
            <w:tcW w:w="2958" w:type="dxa"/>
          </w:tcPr>
          <w:p w14:paraId="6089EA94" w14:textId="77777777" w:rsidR="00C0124C" w:rsidRPr="004148B8" w:rsidRDefault="00C0124C" w:rsidP="0036109F">
            <w:pPr>
              <w:ind w:right="-205"/>
              <w:rPr>
                <w:rFonts w:asciiTheme="majorHAnsi" w:hAnsiTheme="majorHAnsi"/>
                <w:i/>
                <w:sz w:val="22"/>
              </w:rPr>
            </w:pPr>
            <w:r>
              <w:rPr>
                <w:rFonts w:asciiTheme="majorHAnsi" w:hAnsiTheme="majorHAnsi"/>
                <w:i/>
                <w:sz w:val="22"/>
              </w:rPr>
              <w:t>LG3: U</w:t>
            </w:r>
            <w:r w:rsidRPr="00574FFB">
              <w:rPr>
                <w:rFonts w:asciiTheme="majorHAnsi" w:hAnsiTheme="majorHAnsi"/>
                <w:i/>
                <w:sz w:val="22"/>
              </w:rPr>
              <w:t>se critical thinking to integrate knowledge from different business disciplines to identify, analyze, and develop solutions to business problems.</w:t>
            </w:r>
          </w:p>
        </w:tc>
        <w:tc>
          <w:tcPr>
            <w:tcW w:w="4152" w:type="dxa"/>
          </w:tcPr>
          <w:p w14:paraId="25F92ABA" w14:textId="77777777" w:rsidR="00C0124C" w:rsidRPr="007F4C39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Goal 3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  <w:r w:rsidRPr="007F4C39">
              <w:rPr>
                <w:rFonts w:cs="Calibri"/>
                <w:i/>
                <w:sz w:val="22"/>
                <w:szCs w:val="22"/>
              </w:rPr>
              <w:t xml:space="preserve"> Critical and Strategic Thinking</w:t>
            </w:r>
            <w:r>
              <w:rPr>
                <w:rFonts w:cs="Calibri"/>
                <w:i/>
                <w:sz w:val="22"/>
                <w:szCs w:val="22"/>
              </w:rPr>
              <w:t>:</w:t>
            </w:r>
          </w:p>
          <w:p w14:paraId="62E8D7D1" w14:textId="77777777" w:rsidR="00C0124C" w:rsidRPr="00641138" w:rsidRDefault="00C0124C" w:rsidP="0036109F">
            <w:pPr>
              <w:ind w:right="-205"/>
              <w:rPr>
                <w:rFonts w:cs="Calibri"/>
                <w:i/>
                <w:sz w:val="22"/>
                <w:szCs w:val="22"/>
              </w:rPr>
            </w:pPr>
            <w:r w:rsidRPr="007F4C39">
              <w:rPr>
                <w:rFonts w:cs="Calibri"/>
                <w:i/>
                <w:sz w:val="22"/>
                <w:szCs w:val="22"/>
              </w:rPr>
              <w:t>Critical thinking skills through strategic problem-solving using integrated business knowledge.</w:t>
            </w:r>
          </w:p>
        </w:tc>
      </w:tr>
    </w:tbl>
    <w:p w14:paraId="040EFD41" w14:textId="77777777" w:rsidR="0065330B" w:rsidRDefault="0065330B"/>
    <w:p w14:paraId="4E165C56" w14:textId="77777777" w:rsidR="00C0124C" w:rsidRDefault="00427DED" w:rsidP="00427DED">
      <w:pPr>
        <w:tabs>
          <w:tab w:val="center" w:pos="4050"/>
          <w:tab w:val="left" w:pos="6900"/>
        </w:tabs>
        <w:jc w:val="center"/>
        <w:rPr>
          <w:b/>
        </w:rPr>
      </w:pPr>
      <w:r w:rsidRPr="00427DED">
        <w:rPr>
          <w:b/>
        </w:rPr>
        <w:t>MANAGEMENT DEPARTMENT ASSURANCE OF LEARNING</w:t>
      </w:r>
    </w:p>
    <w:p w14:paraId="4AE13226" w14:textId="77777777" w:rsidR="002841A4" w:rsidRPr="00427DED" w:rsidRDefault="002841A4" w:rsidP="00427DED">
      <w:pPr>
        <w:tabs>
          <w:tab w:val="center" w:pos="4050"/>
          <w:tab w:val="left" w:pos="6900"/>
        </w:tabs>
        <w:jc w:val="center"/>
        <w:rPr>
          <w:b/>
        </w:rPr>
      </w:pPr>
      <w:r>
        <w:rPr>
          <w:b/>
        </w:rPr>
        <w:t>Program Learning Outcomes and Curriculum Map</w:t>
      </w:r>
    </w:p>
    <w:p w14:paraId="3C4DACA7" w14:textId="77777777" w:rsidR="002841A4" w:rsidRDefault="002841A4" w:rsidP="002841A4">
      <w:pPr>
        <w:ind w:left="-540"/>
      </w:pPr>
    </w:p>
    <w:p w14:paraId="0AE55C23" w14:textId="77777777" w:rsidR="002841A4" w:rsidRPr="002841A4" w:rsidRDefault="002841A4" w:rsidP="002841A4">
      <w:pPr>
        <w:outlineLvl w:val="1"/>
        <w:rPr>
          <w:rFonts w:ascii="Times New Roman" w:hAnsi="Times New Roman"/>
          <w:b/>
          <w:bCs/>
          <w:szCs w:val="36"/>
        </w:rPr>
      </w:pPr>
      <w:r w:rsidRPr="002841A4">
        <w:rPr>
          <w:rFonts w:ascii="Times New Roman" w:hAnsi="Times New Roman"/>
          <w:b/>
          <w:bCs/>
          <w:szCs w:val="36"/>
        </w:rPr>
        <w:t>Learning Goals for the BBA from the Gordon Ford College of Business</w:t>
      </w:r>
    </w:p>
    <w:p w14:paraId="1C0C598C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1: Communication</w:t>
      </w:r>
      <w:r w:rsidRPr="002841A4">
        <w:rPr>
          <w:rFonts w:ascii="Times New Roman" w:hAnsi="Times New Roman"/>
        </w:rPr>
        <w:br/>
        <w:t xml:space="preserve">The ability to communicate effectively in written and oral forms. </w:t>
      </w:r>
    </w:p>
    <w:p w14:paraId="20D4177E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2: Legal and Ethical Awareness</w:t>
      </w:r>
      <w:r w:rsidRPr="002841A4">
        <w:rPr>
          <w:rFonts w:ascii="Times New Roman" w:hAnsi="Times New Roman"/>
        </w:rPr>
        <w:br/>
        <w:t xml:space="preserve">An awareness of legal and ethical issues in business and society. </w:t>
      </w:r>
    </w:p>
    <w:p w14:paraId="03960921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3: Critical and Strategic Thinking</w:t>
      </w:r>
      <w:r w:rsidRPr="002841A4">
        <w:rPr>
          <w:rFonts w:ascii="Times New Roman" w:hAnsi="Times New Roman"/>
        </w:rPr>
        <w:br/>
        <w:t>Critical thinking skills through strategic problem-solving using integrated business knowledge.</w:t>
      </w:r>
    </w:p>
    <w:p w14:paraId="2DE8EDFD" w14:textId="77777777" w:rsidR="002841A4" w:rsidRPr="002841A4" w:rsidRDefault="002841A4" w:rsidP="002841A4">
      <w:pPr>
        <w:ind w:left="450"/>
        <w:rPr>
          <w:rFonts w:ascii="Times New Roman" w:hAnsi="Times New Roman"/>
        </w:rPr>
      </w:pPr>
      <w:r w:rsidRPr="002841A4">
        <w:rPr>
          <w:rFonts w:ascii="Times New Roman" w:hAnsi="Times New Roman"/>
          <w:b/>
          <w:bCs/>
        </w:rPr>
        <w:t>Goal 4: Global Awareness</w:t>
      </w:r>
      <w:r w:rsidRPr="002841A4">
        <w:rPr>
          <w:rFonts w:ascii="Times New Roman" w:hAnsi="Times New Roman"/>
        </w:rPr>
        <w:br/>
        <w:t xml:space="preserve">Our students will be able to explain the increasingly integrated world economy and the forces behind this integration. </w:t>
      </w:r>
    </w:p>
    <w:p w14:paraId="5BFEC2D3" w14:textId="77777777" w:rsidR="002841A4" w:rsidRPr="002841A4" w:rsidRDefault="002841A4" w:rsidP="002841A4">
      <w:pPr>
        <w:ind w:left="450"/>
        <w:rPr>
          <w:rFonts w:ascii="Times New Roman" w:hAnsi="Times New Roman"/>
          <w:b/>
          <w:i/>
        </w:rPr>
      </w:pPr>
      <w:r w:rsidRPr="002841A4">
        <w:rPr>
          <w:rFonts w:ascii="Times New Roman" w:hAnsi="Times New Roman"/>
          <w:b/>
          <w:bCs/>
        </w:rPr>
        <w:t>Goal 5: Discipline Knowledge</w:t>
      </w:r>
      <w:r w:rsidRPr="002841A4">
        <w:rPr>
          <w:rFonts w:ascii="Times New Roman" w:hAnsi="Times New Roman"/>
        </w:rPr>
        <w:br/>
        <w:t xml:space="preserve">A basic knowledge of the business disciplines and areas. </w:t>
      </w:r>
    </w:p>
    <w:p w14:paraId="5784F02B" w14:textId="77777777" w:rsidR="002841A4" w:rsidRDefault="002841A4">
      <w:pPr>
        <w:spacing w:after="160" w:line="259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 w:type="page"/>
      </w:r>
    </w:p>
    <w:p w14:paraId="21FE8175" w14:textId="77777777" w:rsidR="0007407B" w:rsidRPr="00427DED" w:rsidRDefault="0007407B" w:rsidP="0007407B">
      <w:pPr>
        <w:tabs>
          <w:tab w:val="center" w:pos="4050"/>
          <w:tab w:val="left" w:pos="6900"/>
        </w:tabs>
        <w:jc w:val="center"/>
        <w:rPr>
          <w:b/>
        </w:rPr>
      </w:pPr>
      <w:r>
        <w:rPr>
          <w:b/>
        </w:rPr>
        <w:lastRenderedPageBreak/>
        <w:t>Management Department Curriculum Map</w:t>
      </w:r>
    </w:p>
    <w:p w14:paraId="3BB92532" w14:textId="77777777" w:rsidR="0007407B" w:rsidRDefault="0007407B" w:rsidP="00C0124C">
      <w:pPr>
        <w:ind w:left="-540"/>
        <w:jc w:val="center"/>
        <w:rPr>
          <w:rFonts w:asciiTheme="majorHAnsi" w:hAnsiTheme="majorHAnsi"/>
          <w:i/>
        </w:rPr>
      </w:pPr>
    </w:p>
    <w:p w14:paraId="48D4B1C6" w14:textId="77777777" w:rsidR="00C0124C" w:rsidRDefault="00C0124C" w:rsidP="00C0124C">
      <w:pPr>
        <w:ind w:left="-540"/>
        <w:jc w:val="center"/>
        <w:rPr>
          <w:rFonts w:asciiTheme="majorHAnsi" w:hAnsiTheme="majorHAnsi"/>
          <w:i/>
        </w:rPr>
      </w:pPr>
      <w:r w:rsidRPr="00487A48">
        <w:rPr>
          <w:rFonts w:asciiTheme="majorHAnsi" w:hAnsiTheme="majorHAnsi"/>
          <w:i/>
        </w:rPr>
        <w:t>Where are PLOs Intr</w:t>
      </w:r>
      <w:r>
        <w:rPr>
          <w:rFonts w:asciiTheme="majorHAnsi" w:hAnsiTheme="majorHAnsi"/>
          <w:i/>
        </w:rPr>
        <w:t>oduced, Developed, and Mastered</w:t>
      </w:r>
      <w:r w:rsidRPr="00487A48">
        <w:rPr>
          <w:rFonts w:asciiTheme="majorHAnsi" w:hAnsiTheme="majorHAnsi"/>
          <w:i/>
        </w:rPr>
        <w:t>?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350"/>
        <w:gridCol w:w="1530"/>
        <w:gridCol w:w="1440"/>
        <w:gridCol w:w="1350"/>
      </w:tblGrid>
      <w:tr w:rsidR="00C0124C" w:rsidRPr="00487A48" w14:paraId="36F85082" w14:textId="77777777" w:rsidTr="0007407B">
        <w:trPr>
          <w:trHeight w:val="938"/>
        </w:trPr>
        <w:tc>
          <w:tcPr>
            <w:tcW w:w="2070" w:type="dxa"/>
          </w:tcPr>
          <w:p w14:paraId="22B4E521" w14:textId="77777777" w:rsidR="00C0124C" w:rsidRPr="00487A48" w:rsidRDefault="00C0124C" w:rsidP="0036109F">
            <w:pPr>
              <w:ind w:left="-108" w:right="-510"/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10C6E18E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38C7D1C3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64C70320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Introduced</w:t>
            </w:r>
          </w:p>
        </w:tc>
        <w:tc>
          <w:tcPr>
            <w:tcW w:w="1350" w:type="dxa"/>
          </w:tcPr>
          <w:p w14:paraId="41CFC1EF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5A4FC976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41F09353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Introduced</w:t>
            </w:r>
            <w:r>
              <w:rPr>
                <w:rFonts w:asciiTheme="majorHAnsi" w:hAnsiTheme="majorHAnsi"/>
                <w:i/>
              </w:rPr>
              <w:t>/Developed</w:t>
            </w:r>
          </w:p>
        </w:tc>
        <w:tc>
          <w:tcPr>
            <w:tcW w:w="1530" w:type="dxa"/>
          </w:tcPr>
          <w:p w14:paraId="4550C0BA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45FE76C9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4E1FE758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Developed</w:t>
            </w:r>
          </w:p>
        </w:tc>
        <w:tc>
          <w:tcPr>
            <w:tcW w:w="1440" w:type="dxa"/>
          </w:tcPr>
          <w:p w14:paraId="38FAEB25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0D1BAB8F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  <w:p w14:paraId="79913A81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487A48">
              <w:rPr>
                <w:rFonts w:asciiTheme="majorHAnsi" w:hAnsiTheme="majorHAnsi"/>
                <w:i/>
              </w:rPr>
              <w:t>Developed</w:t>
            </w:r>
            <w:r>
              <w:rPr>
                <w:rFonts w:asciiTheme="majorHAnsi" w:hAnsiTheme="majorHAnsi"/>
                <w:i/>
              </w:rPr>
              <w:t>/Mastered</w:t>
            </w:r>
          </w:p>
        </w:tc>
        <w:tc>
          <w:tcPr>
            <w:tcW w:w="1350" w:type="dxa"/>
          </w:tcPr>
          <w:p w14:paraId="537E517C" w14:textId="77777777" w:rsidR="00C0124C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760B5">
              <w:rPr>
                <w:rFonts w:asciiTheme="majorHAnsi" w:hAnsiTheme="majorHAnsi"/>
                <w:i/>
                <w:color w:val="000000" w:themeColor="text1"/>
              </w:rPr>
              <w:t>COURSE</w:t>
            </w:r>
          </w:p>
          <w:p w14:paraId="3008EE2B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  <w:p w14:paraId="61A5C594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487A48">
              <w:rPr>
                <w:rFonts w:asciiTheme="majorHAnsi" w:hAnsiTheme="majorHAnsi"/>
                <w:i/>
              </w:rPr>
              <w:t>Mastered</w:t>
            </w:r>
          </w:p>
          <w:p w14:paraId="2F99B66D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C0124C" w:rsidRPr="00487A48" w14:paraId="4574F2C6" w14:textId="77777777" w:rsidTr="0007407B">
        <w:trPr>
          <w:trHeight w:val="938"/>
        </w:trPr>
        <w:tc>
          <w:tcPr>
            <w:tcW w:w="2070" w:type="dxa"/>
          </w:tcPr>
          <w:p w14:paraId="6F356E0E" w14:textId="77777777" w:rsidR="00C0124C" w:rsidRPr="00251EEC" w:rsidRDefault="00C0124C" w:rsidP="0036109F">
            <w:pPr>
              <w:ind w:left="24" w:right="-205"/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1.1: Students will be able to define general business principles.</w:t>
            </w:r>
          </w:p>
        </w:tc>
        <w:tc>
          <w:tcPr>
            <w:tcW w:w="1350" w:type="dxa"/>
          </w:tcPr>
          <w:p w14:paraId="6FCBFF53" w14:textId="77777777" w:rsidR="00C0124C" w:rsidRPr="005E7DF3" w:rsidRDefault="00C0124C" w:rsidP="0036109F">
            <w:pPr>
              <w:rPr>
                <w:rFonts w:cs="Calibri"/>
                <w:iCs/>
                <w:color w:val="A6A6A6" w:themeColor="background1" w:themeShade="A6"/>
              </w:rPr>
            </w:pPr>
          </w:p>
        </w:tc>
        <w:tc>
          <w:tcPr>
            <w:tcW w:w="1350" w:type="dxa"/>
          </w:tcPr>
          <w:p w14:paraId="000F1741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166519">
              <w:rPr>
                <w:rFonts w:asciiTheme="majorHAnsi" w:hAnsiTheme="majorHAnsi"/>
                <w:i/>
              </w:rPr>
              <w:t>MGT</w:t>
            </w:r>
            <w:r>
              <w:rPr>
                <w:rFonts w:asciiTheme="majorHAnsi" w:hAnsiTheme="majorHAnsi"/>
                <w:i/>
              </w:rPr>
              <w:t>200;</w:t>
            </w:r>
          </w:p>
          <w:p w14:paraId="5DFBD514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212A5083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A6A6A6" w:themeColor="background1" w:themeShade="A6"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  <w:tc>
          <w:tcPr>
            <w:tcW w:w="1530" w:type="dxa"/>
          </w:tcPr>
          <w:p w14:paraId="6F5F7672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3C4FF0D8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61D76B01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  <w:p w14:paraId="2030EBB8" w14:textId="77777777" w:rsidR="00C0124C" w:rsidRPr="00874103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</w:t>
            </w:r>
          </w:p>
        </w:tc>
        <w:tc>
          <w:tcPr>
            <w:tcW w:w="1440" w:type="dxa"/>
          </w:tcPr>
          <w:p w14:paraId="0FCFA9F8" w14:textId="77777777" w:rsidR="00C0124C" w:rsidRPr="00874103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2CB84472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 MGT499;</w:t>
            </w:r>
          </w:p>
          <w:p w14:paraId="3426897B" w14:textId="77777777" w:rsidR="00C0124C" w:rsidRPr="00C760B5" w:rsidRDefault="00C0124C" w:rsidP="0036109F">
            <w:pPr>
              <w:rPr>
                <w:rFonts w:asciiTheme="majorHAnsi" w:hAnsiTheme="majorHAnsi"/>
                <w:i/>
                <w:color w:val="A6A6A6" w:themeColor="background1" w:themeShade="A6"/>
              </w:rPr>
            </w:pPr>
            <w:r>
              <w:rPr>
                <w:rFonts w:asciiTheme="majorHAnsi" w:hAnsiTheme="majorHAnsi"/>
                <w:i/>
              </w:rPr>
              <w:t>MGT314</w:t>
            </w:r>
          </w:p>
        </w:tc>
      </w:tr>
      <w:tr w:rsidR="00C0124C" w:rsidRPr="00487A48" w14:paraId="0F5EF4D3" w14:textId="77777777" w:rsidTr="0007407B">
        <w:trPr>
          <w:trHeight w:val="921"/>
        </w:trPr>
        <w:tc>
          <w:tcPr>
            <w:tcW w:w="2070" w:type="dxa"/>
          </w:tcPr>
          <w:p w14:paraId="32926D86" w14:textId="77777777" w:rsidR="00C0124C" w:rsidRPr="00251EEC" w:rsidRDefault="00C0124C" w:rsidP="0036109F">
            <w:pPr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>SLO 1.2: Students will be able to define principles specific to their disciplines.</w:t>
            </w:r>
          </w:p>
        </w:tc>
        <w:tc>
          <w:tcPr>
            <w:tcW w:w="1350" w:type="dxa"/>
          </w:tcPr>
          <w:p w14:paraId="36806E1E" w14:textId="77777777" w:rsidR="00C0124C" w:rsidRPr="003860F7" w:rsidRDefault="00C0124C" w:rsidP="0036109F">
            <w:pPr>
              <w:rPr>
                <w:rFonts w:asciiTheme="majorHAnsi" w:hAnsiTheme="majorHAnsi"/>
                <w:i/>
              </w:rPr>
            </w:pPr>
            <w:r w:rsidRPr="003860F7">
              <w:rPr>
                <w:rFonts w:asciiTheme="majorHAnsi" w:hAnsiTheme="majorHAnsi"/>
                <w:i/>
              </w:rPr>
              <w:t>MGT200</w:t>
            </w:r>
            <w:r>
              <w:rPr>
                <w:rFonts w:asciiTheme="majorHAnsi" w:hAnsiTheme="majorHAnsi"/>
                <w:i/>
              </w:rPr>
              <w:t xml:space="preserve">; </w:t>
            </w:r>
          </w:p>
          <w:p w14:paraId="780D56D4" w14:textId="77777777" w:rsidR="00C0124C" w:rsidRPr="003860F7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32C8EC5E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312;</w:t>
            </w:r>
          </w:p>
          <w:p w14:paraId="6120949C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39F202EF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146751A2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</w:tc>
        <w:tc>
          <w:tcPr>
            <w:tcW w:w="1530" w:type="dxa"/>
          </w:tcPr>
          <w:p w14:paraId="5AB38047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334D082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MGT314;</w:t>
            </w:r>
          </w:p>
          <w:p w14:paraId="2D3D6F6B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</w:tcPr>
          <w:p w14:paraId="28E833C4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380; MGT498;</w:t>
            </w:r>
          </w:p>
          <w:p w14:paraId="6F169C26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MGT417;</w:t>
            </w:r>
          </w:p>
          <w:p w14:paraId="5171559D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03EE52F6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</w:t>
            </w:r>
          </w:p>
          <w:p w14:paraId="68F1628F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</w:tr>
      <w:tr w:rsidR="00C0124C" w:rsidRPr="00487A48" w14:paraId="55915EA7" w14:textId="77777777" w:rsidTr="0007407B">
        <w:trPr>
          <w:trHeight w:val="938"/>
        </w:trPr>
        <w:tc>
          <w:tcPr>
            <w:tcW w:w="2070" w:type="dxa"/>
          </w:tcPr>
          <w:p w14:paraId="48E2F335" w14:textId="77777777" w:rsidR="00C0124C" w:rsidRPr="00251EEC" w:rsidRDefault="00C0124C" w:rsidP="0036109F">
            <w:pPr>
              <w:rPr>
                <w:rFonts w:asciiTheme="majorHAnsi" w:hAnsiTheme="majorHAnsi"/>
                <w:i/>
                <w:sz w:val="22"/>
              </w:rPr>
            </w:pPr>
            <w:r w:rsidRPr="00251EEC">
              <w:rPr>
                <w:rFonts w:asciiTheme="majorHAnsi" w:hAnsiTheme="majorHAnsi"/>
                <w:i/>
                <w:sz w:val="22"/>
              </w:rPr>
              <w:t xml:space="preserve">SLO 1.3: Students will demonstrate the ability to communicate professionally.  </w:t>
            </w:r>
          </w:p>
        </w:tc>
        <w:tc>
          <w:tcPr>
            <w:tcW w:w="1350" w:type="dxa"/>
          </w:tcPr>
          <w:p w14:paraId="459906B4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1AA3080D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7B789A5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 w:rsidRPr="006073D7">
              <w:rPr>
                <w:rFonts w:asciiTheme="majorHAnsi" w:hAnsiTheme="majorHAnsi"/>
                <w:i/>
              </w:rPr>
              <w:t>MGT361;</w:t>
            </w:r>
          </w:p>
          <w:p w14:paraId="5CC5B73F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2813DC3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312</w:t>
            </w:r>
          </w:p>
          <w:p w14:paraId="1CF39B72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530" w:type="dxa"/>
          </w:tcPr>
          <w:p w14:paraId="489F351D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1EC56511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15C2F44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MGT314;</w:t>
            </w:r>
          </w:p>
          <w:p w14:paraId="73210221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MGT417;</w:t>
            </w:r>
          </w:p>
        </w:tc>
        <w:tc>
          <w:tcPr>
            <w:tcW w:w="1440" w:type="dxa"/>
          </w:tcPr>
          <w:p w14:paraId="545BA5BF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380;</w:t>
            </w:r>
          </w:p>
          <w:p w14:paraId="5AF270AB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</w:t>
            </w:r>
          </w:p>
          <w:p w14:paraId="21D9399F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MGT499</w:t>
            </w:r>
          </w:p>
        </w:tc>
        <w:tc>
          <w:tcPr>
            <w:tcW w:w="1350" w:type="dxa"/>
          </w:tcPr>
          <w:p w14:paraId="25845903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ENT496;</w:t>
            </w:r>
          </w:p>
          <w:p w14:paraId="6157902B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MGT305; </w:t>
            </w:r>
          </w:p>
          <w:p w14:paraId="7742B7C8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</w:tr>
      <w:tr w:rsidR="00C0124C" w:rsidRPr="00487A48" w14:paraId="26F9FBF2" w14:textId="77777777" w:rsidTr="0007407B">
        <w:trPr>
          <w:trHeight w:val="938"/>
        </w:trPr>
        <w:tc>
          <w:tcPr>
            <w:tcW w:w="2070" w:type="dxa"/>
          </w:tcPr>
          <w:p w14:paraId="44E91531" w14:textId="77777777" w:rsidR="00C0124C" w:rsidRPr="002841A4" w:rsidRDefault="00C0124C" w:rsidP="0036109F">
            <w:pPr>
              <w:rPr>
                <w:rFonts w:asciiTheme="majorHAnsi" w:hAnsiTheme="majorHAnsi"/>
                <w:i/>
                <w:sz w:val="22"/>
              </w:rPr>
            </w:pPr>
            <w:r w:rsidRPr="002841A4">
              <w:rPr>
                <w:rFonts w:asciiTheme="majorHAnsi" w:hAnsiTheme="majorHAnsi"/>
                <w:i/>
                <w:sz w:val="22"/>
              </w:rPr>
              <w:t>SLO 2.1: Students will be able to articulate the importance of working in diverse teams to create successful outcomes.</w:t>
            </w:r>
          </w:p>
        </w:tc>
        <w:tc>
          <w:tcPr>
            <w:tcW w:w="1350" w:type="dxa"/>
          </w:tcPr>
          <w:p w14:paraId="3CDEE18D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MGT200;</w:t>
            </w:r>
          </w:p>
          <w:p w14:paraId="4D7FB583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376353E2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  <w:p w14:paraId="7895D127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2685AD05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714B695D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ENT312</w:t>
            </w:r>
          </w:p>
        </w:tc>
        <w:tc>
          <w:tcPr>
            <w:tcW w:w="1530" w:type="dxa"/>
          </w:tcPr>
          <w:p w14:paraId="7515F8BD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66F4507C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MGT314;</w:t>
            </w:r>
          </w:p>
          <w:p w14:paraId="45C09F8E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  <w:p w14:paraId="09B5E3C1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</w:tcPr>
          <w:p w14:paraId="21EF1C7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ENT496;</w:t>
            </w:r>
          </w:p>
          <w:p w14:paraId="6D22A67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</w:t>
            </w:r>
          </w:p>
          <w:p w14:paraId="655807E7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MGT499</w:t>
            </w:r>
          </w:p>
        </w:tc>
        <w:tc>
          <w:tcPr>
            <w:tcW w:w="1350" w:type="dxa"/>
          </w:tcPr>
          <w:p w14:paraId="7D34147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MGT417;</w:t>
            </w:r>
          </w:p>
          <w:p w14:paraId="5200FFA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MGT305;</w:t>
            </w:r>
          </w:p>
          <w:p w14:paraId="0B5B8F8B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</w:t>
            </w:r>
          </w:p>
          <w:p w14:paraId="529E88FC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</w:tr>
      <w:tr w:rsidR="00C0124C" w:rsidRPr="00487A48" w14:paraId="063E2299" w14:textId="77777777" w:rsidTr="0007407B">
        <w:trPr>
          <w:trHeight w:val="938"/>
        </w:trPr>
        <w:tc>
          <w:tcPr>
            <w:tcW w:w="2070" w:type="dxa"/>
          </w:tcPr>
          <w:p w14:paraId="5F4348EE" w14:textId="77777777" w:rsidR="00C0124C" w:rsidRPr="005946B1" w:rsidRDefault="00C0124C" w:rsidP="0036109F">
            <w:pPr>
              <w:rPr>
                <w:rFonts w:asciiTheme="majorHAnsi" w:hAnsiTheme="majorHAnsi"/>
                <w:i/>
              </w:rPr>
            </w:pPr>
            <w:r w:rsidRPr="00B822C0">
              <w:rPr>
                <w:rFonts w:asciiTheme="majorHAnsi" w:hAnsiTheme="majorHAnsi"/>
                <w:i/>
                <w:sz w:val="22"/>
              </w:rPr>
              <w:t xml:space="preserve">SLO 3.1: Students will be able to synthesize information from a variety of sources to create solutions for business problems.  </w:t>
            </w:r>
          </w:p>
        </w:tc>
        <w:tc>
          <w:tcPr>
            <w:tcW w:w="1350" w:type="dxa"/>
          </w:tcPr>
          <w:p w14:paraId="3351C062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MGT200;</w:t>
            </w:r>
          </w:p>
          <w:p w14:paraId="624E34FC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MGT210;</w:t>
            </w:r>
          </w:p>
          <w:p w14:paraId="6D538907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ENT312;</w:t>
            </w:r>
          </w:p>
          <w:p w14:paraId="38BCB772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350" w:type="dxa"/>
          </w:tcPr>
          <w:p w14:paraId="3AD66B74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  <w:tc>
          <w:tcPr>
            <w:tcW w:w="1530" w:type="dxa"/>
          </w:tcPr>
          <w:p w14:paraId="4EE50F37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MGT311;</w:t>
            </w:r>
          </w:p>
          <w:p w14:paraId="44859529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MGT361;</w:t>
            </w:r>
          </w:p>
          <w:p w14:paraId="53B81A1D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MGT314</w:t>
            </w:r>
          </w:p>
          <w:p w14:paraId="58CEAAAB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440" w:type="dxa"/>
          </w:tcPr>
          <w:p w14:paraId="0B763DB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ENT 496;</w:t>
            </w:r>
          </w:p>
          <w:p w14:paraId="52293B10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MGT498;</w:t>
            </w:r>
          </w:p>
          <w:p w14:paraId="12CBC283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MGT499</w:t>
            </w:r>
          </w:p>
        </w:tc>
        <w:tc>
          <w:tcPr>
            <w:tcW w:w="1350" w:type="dxa"/>
          </w:tcPr>
          <w:p w14:paraId="2DF1CC12" w14:textId="77777777" w:rsidR="00C0124C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MGT313;</w:t>
            </w:r>
          </w:p>
          <w:p w14:paraId="302E9606" w14:textId="77777777" w:rsidR="00C0124C" w:rsidRPr="00487A48" w:rsidRDefault="00C0124C" w:rsidP="0036109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MGT305</w:t>
            </w:r>
          </w:p>
        </w:tc>
      </w:tr>
    </w:tbl>
    <w:p w14:paraId="18C206D3" w14:textId="77777777" w:rsidR="00C0124C" w:rsidRPr="00487A48" w:rsidRDefault="00C0124C" w:rsidP="00C0124C">
      <w:pPr>
        <w:ind w:left="-540"/>
        <w:jc w:val="center"/>
        <w:rPr>
          <w:rFonts w:asciiTheme="majorHAnsi" w:hAnsiTheme="majorHAnsi"/>
          <w:b/>
          <w:i/>
        </w:rPr>
      </w:pPr>
    </w:p>
    <w:p w14:paraId="668C8BD1" w14:textId="77777777" w:rsidR="00C0124C" w:rsidRDefault="00C0124C" w:rsidP="00C0124C">
      <w:pPr>
        <w:rPr>
          <w:i/>
        </w:rPr>
      </w:pPr>
      <w:r w:rsidRPr="00FC6657">
        <w:rPr>
          <w:i/>
        </w:rPr>
        <w:t>Place an I, D, or M in each cell above to indicate where the program content</w:t>
      </w:r>
      <w:r>
        <w:rPr>
          <w:i/>
        </w:rPr>
        <w:t xml:space="preserve"> related to each SLO is i</w:t>
      </w:r>
      <w:r w:rsidRPr="00FC6657">
        <w:rPr>
          <w:i/>
        </w:rPr>
        <w:t>ntroduced</w:t>
      </w:r>
      <w:r>
        <w:rPr>
          <w:i/>
        </w:rPr>
        <w:t xml:space="preserve"> (I), d</w:t>
      </w:r>
      <w:r w:rsidRPr="00FC6657">
        <w:rPr>
          <w:i/>
        </w:rPr>
        <w:t>eveloped</w:t>
      </w:r>
      <w:r>
        <w:rPr>
          <w:i/>
        </w:rPr>
        <w:t xml:space="preserve"> (D), and/or m</w:t>
      </w:r>
      <w:r w:rsidRPr="00FC6657">
        <w:rPr>
          <w:i/>
        </w:rPr>
        <w:t>astered</w:t>
      </w:r>
      <w:r>
        <w:rPr>
          <w:i/>
        </w:rPr>
        <w:t xml:space="preserve"> (M)</w:t>
      </w:r>
      <w:r w:rsidRPr="00FC6657">
        <w:rPr>
          <w:i/>
        </w:rPr>
        <w:t xml:space="preserve">. </w:t>
      </w:r>
      <w:r>
        <w:rPr>
          <w:i/>
        </w:rPr>
        <w:t xml:space="preserve">SLO content may be delivered in more than just six courses as indicated in the above table. </w:t>
      </w:r>
    </w:p>
    <w:p w14:paraId="38DCAF7C" w14:textId="77777777" w:rsidR="00C0124C" w:rsidRDefault="00C0124C" w:rsidP="00C0124C">
      <w:pPr>
        <w:rPr>
          <w:i/>
        </w:rPr>
      </w:pPr>
    </w:p>
    <w:p w14:paraId="05450ABB" w14:textId="77777777" w:rsidR="00C0124C" w:rsidRDefault="00C0124C" w:rsidP="00C0124C">
      <w:pPr>
        <w:rPr>
          <w:i/>
        </w:rPr>
      </w:pPr>
    </w:p>
    <w:p w14:paraId="44B963E0" w14:textId="77777777" w:rsidR="003C4010" w:rsidRDefault="003C4010"/>
    <w:sectPr w:rsidR="003C4010" w:rsidSect="002B762F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16F3" w14:textId="77777777" w:rsidR="00FA4911" w:rsidRDefault="00FA4911" w:rsidP="002B762F">
      <w:r>
        <w:separator/>
      </w:r>
    </w:p>
  </w:endnote>
  <w:endnote w:type="continuationSeparator" w:id="0">
    <w:p w14:paraId="4B4048B0" w14:textId="77777777" w:rsidR="00FA4911" w:rsidRDefault="00FA4911" w:rsidP="002B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347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7277E" w14:textId="77777777" w:rsidR="0036109F" w:rsidRDefault="00361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4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72B9A9" w14:textId="77777777" w:rsidR="0036109F" w:rsidRDefault="00361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94F7" w14:textId="77777777" w:rsidR="00FA4911" w:rsidRDefault="00FA4911" w:rsidP="002B762F">
      <w:r>
        <w:separator/>
      </w:r>
    </w:p>
  </w:footnote>
  <w:footnote w:type="continuationSeparator" w:id="0">
    <w:p w14:paraId="360E3F1E" w14:textId="77777777" w:rsidR="00FA4911" w:rsidRDefault="00FA4911" w:rsidP="002B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B7"/>
    <w:rsid w:val="000538F4"/>
    <w:rsid w:val="0007407B"/>
    <w:rsid w:val="00085AF6"/>
    <w:rsid w:val="000D24BC"/>
    <w:rsid w:val="00127E5A"/>
    <w:rsid w:val="0014779A"/>
    <w:rsid w:val="001A0EE5"/>
    <w:rsid w:val="001A4304"/>
    <w:rsid w:val="001E015A"/>
    <w:rsid w:val="0020442D"/>
    <w:rsid w:val="00212166"/>
    <w:rsid w:val="002224B7"/>
    <w:rsid w:val="002240CF"/>
    <w:rsid w:val="002456FA"/>
    <w:rsid w:val="00273FA0"/>
    <w:rsid w:val="00280EF7"/>
    <w:rsid w:val="002841A4"/>
    <w:rsid w:val="002B762F"/>
    <w:rsid w:val="002C7135"/>
    <w:rsid w:val="002D1451"/>
    <w:rsid w:val="002E06D5"/>
    <w:rsid w:val="002F5EB0"/>
    <w:rsid w:val="00325B9F"/>
    <w:rsid w:val="003347CB"/>
    <w:rsid w:val="0035209C"/>
    <w:rsid w:val="0036109F"/>
    <w:rsid w:val="003749AF"/>
    <w:rsid w:val="003801F8"/>
    <w:rsid w:val="00397921"/>
    <w:rsid w:val="003A09C9"/>
    <w:rsid w:val="003C4010"/>
    <w:rsid w:val="003E7EED"/>
    <w:rsid w:val="004005BB"/>
    <w:rsid w:val="00402E5E"/>
    <w:rsid w:val="00407498"/>
    <w:rsid w:val="00412D26"/>
    <w:rsid w:val="0042624C"/>
    <w:rsid w:val="00427DED"/>
    <w:rsid w:val="00433A12"/>
    <w:rsid w:val="004B3A21"/>
    <w:rsid w:val="004F0F78"/>
    <w:rsid w:val="00501B58"/>
    <w:rsid w:val="00507358"/>
    <w:rsid w:val="00516C49"/>
    <w:rsid w:val="00521DD8"/>
    <w:rsid w:val="005251D3"/>
    <w:rsid w:val="00565BD4"/>
    <w:rsid w:val="0058433E"/>
    <w:rsid w:val="005B7A85"/>
    <w:rsid w:val="005E3DF7"/>
    <w:rsid w:val="00631C6E"/>
    <w:rsid w:val="00642AE9"/>
    <w:rsid w:val="0065330B"/>
    <w:rsid w:val="0069544A"/>
    <w:rsid w:val="00695F35"/>
    <w:rsid w:val="00697323"/>
    <w:rsid w:val="006A3E42"/>
    <w:rsid w:val="006E4727"/>
    <w:rsid w:val="006E6C47"/>
    <w:rsid w:val="006F60B9"/>
    <w:rsid w:val="006F659A"/>
    <w:rsid w:val="00732180"/>
    <w:rsid w:val="00735F23"/>
    <w:rsid w:val="00796C7D"/>
    <w:rsid w:val="007974B2"/>
    <w:rsid w:val="007C50FC"/>
    <w:rsid w:val="007D16FE"/>
    <w:rsid w:val="00803CF5"/>
    <w:rsid w:val="00834DED"/>
    <w:rsid w:val="0084241F"/>
    <w:rsid w:val="008527B4"/>
    <w:rsid w:val="00884058"/>
    <w:rsid w:val="00887998"/>
    <w:rsid w:val="008961AD"/>
    <w:rsid w:val="008B6874"/>
    <w:rsid w:val="008F3B9C"/>
    <w:rsid w:val="00914628"/>
    <w:rsid w:val="0093149A"/>
    <w:rsid w:val="009B024E"/>
    <w:rsid w:val="009E625D"/>
    <w:rsid w:val="009F1249"/>
    <w:rsid w:val="00AC0B11"/>
    <w:rsid w:val="00AE0AA9"/>
    <w:rsid w:val="00B06CCA"/>
    <w:rsid w:val="00B26B5F"/>
    <w:rsid w:val="00B43B01"/>
    <w:rsid w:val="00B542CB"/>
    <w:rsid w:val="00B6217A"/>
    <w:rsid w:val="00B7618B"/>
    <w:rsid w:val="00BA1F01"/>
    <w:rsid w:val="00BE188B"/>
    <w:rsid w:val="00C0124C"/>
    <w:rsid w:val="00C60B7A"/>
    <w:rsid w:val="00C64771"/>
    <w:rsid w:val="00C849FF"/>
    <w:rsid w:val="00CA1A91"/>
    <w:rsid w:val="00CA5CB7"/>
    <w:rsid w:val="00CE2864"/>
    <w:rsid w:val="00CF138E"/>
    <w:rsid w:val="00CF5BB6"/>
    <w:rsid w:val="00D167D3"/>
    <w:rsid w:val="00D17154"/>
    <w:rsid w:val="00D32AD9"/>
    <w:rsid w:val="00D77868"/>
    <w:rsid w:val="00D84ED8"/>
    <w:rsid w:val="00E62E1B"/>
    <w:rsid w:val="00E64A8F"/>
    <w:rsid w:val="00EA108B"/>
    <w:rsid w:val="00EB5BF9"/>
    <w:rsid w:val="00ED4338"/>
    <w:rsid w:val="00ED79C2"/>
    <w:rsid w:val="00EE5E7B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C6B1"/>
  <w15:chartTrackingRefBased/>
  <w15:docId w15:val="{A8926F5A-573C-4638-B020-6A3E87FD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2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CB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2F"/>
    <w:rPr>
      <w:rFonts w:ascii="Calibri" w:eastAsia="Times New Roman" w:hAnsi="Calibri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2F"/>
    <w:rPr>
      <w:rFonts w:ascii="Calibri" w:eastAsia="Times New Roman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38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E6C4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13891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Feng Helen</dc:creator>
  <cp:keywords/>
  <dc:description/>
  <cp:lastModifiedBy>Coder, LeAnne</cp:lastModifiedBy>
  <cp:revision>2</cp:revision>
  <cp:lastPrinted>2022-08-27T22:48:00Z</cp:lastPrinted>
  <dcterms:created xsi:type="dcterms:W3CDTF">2022-09-30T15:00:00Z</dcterms:created>
  <dcterms:modified xsi:type="dcterms:W3CDTF">2022-09-30T15:00:00Z</dcterms:modified>
</cp:coreProperties>
</file>